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C0D020" w14:textId="4E660D7D" w:rsidR="00164CD2" w:rsidRPr="00730243" w:rsidRDefault="00730243" w:rsidP="00A129E5">
      <w:pPr>
        <w:spacing w:line="480" w:lineRule="auto"/>
        <w:jc w:val="both"/>
        <w:rPr>
          <w:b/>
          <w:sz w:val="28"/>
          <w:u w:val="single"/>
          <w:lang w:val="en-US"/>
        </w:rPr>
      </w:pPr>
      <w:bookmarkStart w:id="0" w:name="_Hlk2173661"/>
      <w:r>
        <w:rPr>
          <w:b/>
          <w:sz w:val="28"/>
          <w:u w:val="single"/>
          <w:lang w:val="en-US"/>
        </w:rPr>
        <w:t xml:space="preserve">Structure-based Discovery of </w:t>
      </w:r>
      <w:r w:rsidR="00F33BEE">
        <w:rPr>
          <w:b/>
          <w:sz w:val="28"/>
          <w:u w:val="single"/>
          <w:lang w:val="en-US"/>
        </w:rPr>
        <w:t xml:space="preserve">a new </w:t>
      </w:r>
      <w:r w:rsidR="00A31830">
        <w:rPr>
          <w:b/>
          <w:sz w:val="28"/>
          <w:u w:val="single"/>
          <w:lang w:val="en-US"/>
        </w:rPr>
        <w:t>Protein-</w:t>
      </w:r>
      <w:r>
        <w:rPr>
          <w:b/>
          <w:sz w:val="28"/>
          <w:u w:val="single"/>
          <w:lang w:val="en-US"/>
        </w:rPr>
        <w:t>Aggregation Breaking Excipient</w:t>
      </w:r>
    </w:p>
    <w:bookmarkEnd w:id="0"/>
    <w:p w14:paraId="4FFD0EBA" w14:textId="77777777" w:rsidR="005F0550" w:rsidRDefault="005F0550" w:rsidP="00A129E5">
      <w:pPr>
        <w:spacing w:line="480" w:lineRule="auto"/>
        <w:jc w:val="both"/>
        <w:rPr>
          <w:lang w:val="en-US"/>
        </w:rPr>
      </w:pPr>
      <w:r>
        <w:rPr>
          <w:lang w:val="en-US"/>
        </w:rPr>
        <w:t>Andreas Tosstorff</w:t>
      </w:r>
      <w:r w:rsidR="00330797" w:rsidRPr="00330797">
        <w:rPr>
          <w:vertAlign w:val="superscript"/>
          <w:lang w:val="en-US"/>
        </w:rPr>
        <w:t>1</w:t>
      </w:r>
      <w:r w:rsidR="00917EBC">
        <w:rPr>
          <w:vertAlign w:val="superscript"/>
          <w:lang w:val="en-US"/>
        </w:rPr>
        <w:t>*</w:t>
      </w:r>
      <w:r>
        <w:rPr>
          <w:lang w:val="en-US"/>
        </w:rPr>
        <w:t>,</w:t>
      </w:r>
      <w:r w:rsidR="00781806">
        <w:rPr>
          <w:lang w:val="en-US"/>
        </w:rPr>
        <w:t xml:space="preserve"> Hristo Svilenov</w:t>
      </w:r>
      <w:r w:rsidR="00330797" w:rsidRPr="00330797">
        <w:rPr>
          <w:vertAlign w:val="superscript"/>
          <w:lang w:val="en-US"/>
        </w:rPr>
        <w:t>1</w:t>
      </w:r>
      <w:r w:rsidR="00781806">
        <w:rPr>
          <w:lang w:val="en-US"/>
        </w:rPr>
        <w:t>,</w:t>
      </w:r>
      <w:r>
        <w:rPr>
          <w:lang w:val="en-US"/>
        </w:rPr>
        <w:t xml:space="preserve"> Günther</w:t>
      </w:r>
      <w:r w:rsidR="00330797">
        <w:rPr>
          <w:lang w:val="en-US"/>
        </w:rPr>
        <w:t xml:space="preserve"> H.J.</w:t>
      </w:r>
      <w:r>
        <w:rPr>
          <w:lang w:val="en-US"/>
        </w:rPr>
        <w:t xml:space="preserve"> Peters</w:t>
      </w:r>
      <w:r w:rsidR="00330797" w:rsidRPr="00330797">
        <w:rPr>
          <w:vertAlign w:val="superscript"/>
          <w:lang w:val="en-US"/>
        </w:rPr>
        <w:t>2</w:t>
      </w:r>
      <w:r>
        <w:rPr>
          <w:lang w:val="en-US"/>
        </w:rPr>
        <w:t>, Pernille Harris</w:t>
      </w:r>
      <w:r w:rsidR="00330797" w:rsidRPr="00330797">
        <w:rPr>
          <w:vertAlign w:val="superscript"/>
          <w:lang w:val="en-US"/>
        </w:rPr>
        <w:t>2</w:t>
      </w:r>
      <w:r>
        <w:rPr>
          <w:lang w:val="en-US"/>
        </w:rPr>
        <w:t>, Gerhard Winter</w:t>
      </w:r>
      <w:r w:rsidR="00330797" w:rsidRPr="00330797">
        <w:rPr>
          <w:vertAlign w:val="superscript"/>
          <w:lang w:val="en-US"/>
        </w:rPr>
        <w:t>1</w:t>
      </w:r>
    </w:p>
    <w:p w14:paraId="3A2ACAC4" w14:textId="77777777" w:rsidR="00917EBC" w:rsidRPr="00917EBC" w:rsidRDefault="00917EBC" w:rsidP="00A129E5">
      <w:pPr>
        <w:spacing w:line="480" w:lineRule="auto"/>
        <w:jc w:val="both"/>
        <w:rPr>
          <w:lang w:val="en-US"/>
        </w:rPr>
      </w:pPr>
      <w:r w:rsidRPr="00917EBC">
        <w:rPr>
          <w:bCs/>
          <w:vertAlign w:val="superscript"/>
          <w:lang w:val="en-US"/>
        </w:rPr>
        <w:t>1</w:t>
      </w:r>
      <w:r w:rsidRPr="00917EBC">
        <w:rPr>
          <w:bCs/>
          <w:lang w:val="en-US"/>
        </w:rPr>
        <w:t xml:space="preserve">Department of Pharmacy, Pharmaceutical Technology and Biopharmaceutics, </w:t>
      </w:r>
      <w:r>
        <w:rPr>
          <w:bCs/>
          <w:lang w:val="en-US"/>
        </w:rPr>
        <w:t>Ludwig-Maximilians</w:t>
      </w:r>
      <w:r w:rsidR="00432B85">
        <w:rPr>
          <w:bCs/>
          <w:lang w:val="en-US"/>
        </w:rPr>
        <w:t>-</w:t>
      </w:r>
      <w:r>
        <w:rPr>
          <w:bCs/>
          <w:lang w:val="en-US"/>
        </w:rPr>
        <w:t xml:space="preserve">Universität </w:t>
      </w:r>
      <w:r w:rsidRPr="00917EBC">
        <w:rPr>
          <w:bCs/>
          <w:lang w:val="en-US"/>
        </w:rPr>
        <w:t>München, Munich, Germany</w:t>
      </w:r>
    </w:p>
    <w:p w14:paraId="16B188D6" w14:textId="77777777" w:rsidR="00917EBC" w:rsidRPr="00917EBC" w:rsidRDefault="00917EBC" w:rsidP="00A129E5">
      <w:pPr>
        <w:spacing w:line="480" w:lineRule="auto"/>
        <w:jc w:val="both"/>
        <w:rPr>
          <w:lang w:val="en-US"/>
        </w:rPr>
      </w:pPr>
      <w:r w:rsidRPr="00917EBC">
        <w:rPr>
          <w:bCs/>
          <w:vertAlign w:val="superscript"/>
          <w:lang w:val="en-US"/>
        </w:rPr>
        <w:t>2</w:t>
      </w:r>
      <w:r w:rsidRPr="00917EBC">
        <w:rPr>
          <w:bCs/>
          <w:lang w:val="en-US"/>
        </w:rPr>
        <w:t>Department of Chemistry, Technical University of Denmark, 2800 Kgs. Lyngby, Denmark</w:t>
      </w:r>
    </w:p>
    <w:p w14:paraId="49247659" w14:textId="77777777" w:rsidR="00E77D77" w:rsidRDefault="00917EBC" w:rsidP="00A129E5">
      <w:pPr>
        <w:spacing w:line="480" w:lineRule="auto"/>
        <w:jc w:val="both"/>
        <w:rPr>
          <w:rStyle w:val="Hyperlink"/>
          <w:bCs/>
          <w:lang w:val="en-US"/>
        </w:rPr>
      </w:pPr>
      <w:r w:rsidRPr="00917EBC">
        <w:rPr>
          <w:bCs/>
          <w:vertAlign w:val="superscript"/>
          <w:lang w:val="en-US"/>
        </w:rPr>
        <w:t>*</w:t>
      </w:r>
      <w:r w:rsidRPr="00917EBC">
        <w:rPr>
          <w:bCs/>
          <w:lang w:val="en-US"/>
        </w:rPr>
        <w:t xml:space="preserve">Contact: </w:t>
      </w:r>
      <w:hyperlink r:id="rId7" w:history="1">
        <w:r w:rsidR="004A2905" w:rsidRPr="007B6D00">
          <w:rPr>
            <w:rStyle w:val="Hyperlink"/>
            <w:bCs/>
            <w:lang w:val="en-US"/>
          </w:rPr>
          <w:t>andreas.tosstorff@cup.uni-muenchen.de</w:t>
        </w:r>
      </w:hyperlink>
    </w:p>
    <w:p w14:paraId="6AC256AE" w14:textId="393EE21D" w:rsidR="00DD5E48" w:rsidRDefault="00DD5E48" w:rsidP="00A129E5">
      <w:pPr>
        <w:spacing w:line="480" w:lineRule="auto"/>
        <w:jc w:val="both"/>
        <w:rPr>
          <w:lang w:val="en-US"/>
        </w:rPr>
        <w:sectPr w:rsidR="00DD5E48" w:rsidSect="00AE2F57">
          <w:footerReference w:type="default" r:id="rId8"/>
          <w:pgSz w:w="11906" w:h="16838"/>
          <w:pgMar w:top="1417" w:right="1417" w:bottom="1134" w:left="1417" w:header="708" w:footer="708" w:gutter="0"/>
          <w:cols w:space="708"/>
          <w:docGrid w:linePitch="360"/>
        </w:sectPr>
      </w:pPr>
    </w:p>
    <w:p w14:paraId="7C5CC76C" w14:textId="77777777" w:rsidR="005F0550" w:rsidRDefault="005F0550" w:rsidP="00A129E5">
      <w:pPr>
        <w:spacing w:line="480" w:lineRule="auto"/>
        <w:rPr>
          <w:b/>
          <w:lang w:val="en-US"/>
        </w:rPr>
      </w:pPr>
      <w:r w:rsidRPr="005F0550">
        <w:rPr>
          <w:b/>
          <w:lang w:val="en-US"/>
        </w:rPr>
        <w:lastRenderedPageBreak/>
        <w:t>Abstract</w:t>
      </w:r>
    </w:p>
    <w:p w14:paraId="0E5B8082" w14:textId="4E732B2D" w:rsidR="005F0550" w:rsidRDefault="005F0550" w:rsidP="00A129E5">
      <w:pPr>
        <w:spacing w:line="480" w:lineRule="auto"/>
        <w:jc w:val="both"/>
        <w:rPr>
          <w:lang w:val="en-US"/>
        </w:rPr>
      </w:pPr>
      <w:r>
        <w:rPr>
          <w:lang w:val="en-US"/>
        </w:rPr>
        <w:t>Reducing the aggregation of proteins is of utmost interest to the pharmaceutical industry. Aggregated proteins are</w:t>
      </w:r>
      <w:r w:rsidR="00395263">
        <w:rPr>
          <w:lang w:val="en-US"/>
        </w:rPr>
        <w:t xml:space="preserve"> often</w:t>
      </w:r>
      <w:r>
        <w:rPr>
          <w:lang w:val="en-US"/>
        </w:rPr>
        <w:t xml:space="preserve"> less active and can cause severe</w:t>
      </w:r>
      <w:r w:rsidR="00395263">
        <w:rPr>
          <w:lang w:val="en-US"/>
        </w:rPr>
        <w:t xml:space="preserve"> immune</w:t>
      </w:r>
      <w:r>
        <w:rPr>
          <w:lang w:val="en-US"/>
        </w:rPr>
        <w:t xml:space="preserve"> </w:t>
      </w:r>
      <w:r w:rsidR="00F33BEE">
        <w:rPr>
          <w:lang w:val="en-US"/>
        </w:rPr>
        <w:t>reactions</w:t>
      </w:r>
      <w:r>
        <w:rPr>
          <w:lang w:val="en-US"/>
        </w:rPr>
        <w:t xml:space="preserve"> </w:t>
      </w:r>
      <w:r w:rsidR="00F33BEE">
        <w:rPr>
          <w:lang w:val="en-US"/>
        </w:rPr>
        <w:t>i</w:t>
      </w:r>
      <w:r>
        <w:rPr>
          <w:lang w:val="en-US"/>
        </w:rPr>
        <w:t>n the patient upon administration.</w:t>
      </w:r>
      <w:r w:rsidR="006407B1">
        <w:rPr>
          <w:lang w:val="en-US"/>
        </w:rPr>
        <w:t xml:space="preserve"> At the same time the biopharmaceutical market is pushing for high concentration formulations and products that do not require refrigerated storage conditions. </w:t>
      </w:r>
      <w:r w:rsidR="000B635E">
        <w:rPr>
          <w:lang w:val="en-US"/>
        </w:rPr>
        <w:t>For a given protein, t</w:t>
      </w:r>
      <w:r w:rsidR="006407B1">
        <w:rPr>
          <w:lang w:val="en-US"/>
        </w:rPr>
        <w:t>he</w:t>
      </w:r>
      <w:r w:rsidR="000B172C">
        <w:rPr>
          <w:lang w:val="en-US"/>
        </w:rPr>
        <w:t xml:space="preserve"> liquid</w:t>
      </w:r>
      <w:r w:rsidR="006407B1">
        <w:rPr>
          <w:lang w:val="en-US"/>
        </w:rPr>
        <w:t xml:space="preserve"> formulation developer’s toolbox is limited to achieve these goals: pH, ionic strength and concentration of a </w:t>
      </w:r>
      <w:r w:rsidR="000C4240">
        <w:rPr>
          <w:lang w:val="en-US"/>
        </w:rPr>
        <w:t xml:space="preserve">very </w:t>
      </w:r>
      <w:r w:rsidR="006407B1">
        <w:rPr>
          <w:lang w:val="en-US"/>
        </w:rPr>
        <w:t xml:space="preserve">limited </w:t>
      </w:r>
      <w:r w:rsidR="007C297C">
        <w:rPr>
          <w:lang w:val="en-US"/>
        </w:rPr>
        <w:t>number</w:t>
      </w:r>
      <w:r w:rsidR="006407B1">
        <w:rPr>
          <w:lang w:val="en-US"/>
        </w:rPr>
        <w:t xml:space="preserve"> of excipients are the only</w:t>
      </w:r>
      <w:r w:rsidR="000C4240">
        <w:rPr>
          <w:lang w:val="en-US"/>
        </w:rPr>
        <w:t xml:space="preserve"> solution</w:t>
      </w:r>
      <w:r w:rsidR="006407B1">
        <w:rPr>
          <w:lang w:val="en-US"/>
        </w:rPr>
        <w:t xml:space="preserve"> parameters to be varied. </w:t>
      </w:r>
      <w:r w:rsidR="00395263">
        <w:rPr>
          <w:lang w:val="en-US"/>
        </w:rPr>
        <w:t xml:space="preserve">In this work, </w:t>
      </w:r>
      <w:r w:rsidR="006407B1">
        <w:rPr>
          <w:lang w:val="en-US"/>
        </w:rPr>
        <w:t xml:space="preserve">we present a structure-based approach to </w:t>
      </w:r>
      <w:r w:rsidR="000B172C">
        <w:rPr>
          <w:lang w:val="en-US"/>
        </w:rPr>
        <w:t>discover</w:t>
      </w:r>
      <w:r w:rsidR="006407B1">
        <w:rPr>
          <w:lang w:val="en-US"/>
        </w:rPr>
        <w:t xml:space="preserve"> new </w:t>
      </w:r>
      <w:r w:rsidR="00395263">
        <w:rPr>
          <w:lang w:val="en-US"/>
        </w:rPr>
        <w:t>molecules</w:t>
      </w:r>
      <w:r w:rsidR="006407B1">
        <w:rPr>
          <w:lang w:val="en-US"/>
        </w:rPr>
        <w:t xml:space="preserve"> that successfully reduce the aggregation of </w:t>
      </w:r>
      <w:r w:rsidR="00D41595">
        <w:rPr>
          <w:lang w:val="en-US"/>
        </w:rPr>
        <w:t>proteins and</w:t>
      </w:r>
      <w:r w:rsidR="00395263">
        <w:rPr>
          <w:lang w:val="en-US"/>
        </w:rPr>
        <w:t xml:space="preserve"> apply it to</w:t>
      </w:r>
      <w:r w:rsidR="00F33BEE">
        <w:rPr>
          <w:lang w:val="en-US"/>
        </w:rPr>
        <w:t xml:space="preserve"> the model protein </w:t>
      </w:r>
      <w:r w:rsidR="006407B1">
        <w:rPr>
          <w:lang w:val="en-US"/>
        </w:rPr>
        <w:t>Interferon-alpha-2a.</w:t>
      </w:r>
    </w:p>
    <w:p w14:paraId="1112D9E7" w14:textId="77777777" w:rsidR="00E77D77" w:rsidRDefault="00E77D77" w:rsidP="00E77D77">
      <w:pPr>
        <w:spacing w:line="480" w:lineRule="auto"/>
        <w:rPr>
          <w:b/>
          <w:lang w:val="en-US"/>
        </w:rPr>
      </w:pPr>
      <w:r>
        <w:rPr>
          <w:b/>
          <w:lang w:val="en-US"/>
        </w:rPr>
        <w:t>Keywords</w:t>
      </w:r>
    </w:p>
    <w:p w14:paraId="334C4C2B" w14:textId="52449EA6" w:rsidR="00E77D77" w:rsidRDefault="00E77D77" w:rsidP="00E77D77">
      <w:pPr>
        <w:spacing w:line="480" w:lineRule="auto"/>
        <w:rPr>
          <w:lang w:val="en-US"/>
        </w:rPr>
      </w:pPr>
      <w:r>
        <w:rPr>
          <w:lang w:val="en-US"/>
        </w:rPr>
        <w:t xml:space="preserve">Interferon-alpha-2a, </w:t>
      </w:r>
      <w:r w:rsidR="00887C61">
        <w:rPr>
          <w:lang w:val="en-US"/>
        </w:rPr>
        <w:t>Virtual Screen, Excipient</w:t>
      </w:r>
      <w:r>
        <w:rPr>
          <w:lang w:val="en-US"/>
        </w:rPr>
        <w:t>, Protein Aggregation, Protein Formulation, Drug Discovery</w:t>
      </w:r>
    </w:p>
    <w:p w14:paraId="675DC1E2" w14:textId="380EF9CE" w:rsidR="005F0550" w:rsidRDefault="005F0550" w:rsidP="00A129E5">
      <w:pPr>
        <w:spacing w:line="480" w:lineRule="auto"/>
        <w:rPr>
          <w:b/>
          <w:lang w:val="en-US"/>
        </w:rPr>
      </w:pPr>
      <w:r w:rsidRPr="005F0550">
        <w:rPr>
          <w:b/>
          <w:lang w:val="en-US"/>
        </w:rPr>
        <w:t>Introduction</w:t>
      </w:r>
    </w:p>
    <w:p w14:paraId="6DD3454F" w14:textId="7A82E10D" w:rsidR="00A24285" w:rsidRPr="00A24285" w:rsidRDefault="00A24285" w:rsidP="00A129E5">
      <w:pPr>
        <w:spacing w:line="480" w:lineRule="auto"/>
        <w:jc w:val="both"/>
        <w:rPr>
          <w:i/>
          <w:u w:val="single"/>
          <w:lang w:val="en-US"/>
        </w:rPr>
      </w:pPr>
      <w:r w:rsidRPr="00A24285">
        <w:rPr>
          <w:i/>
          <w:u w:val="single"/>
          <w:lang w:val="en-US"/>
        </w:rPr>
        <w:t>Protein aggregation</w:t>
      </w:r>
    </w:p>
    <w:p w14:paraId="12E3DFF5" w14:textId="303ED06A" w:rsidR="001802AE" w:rsidRDefault="00D526A9" w:rsidP="00A129E5">
      <w:pPr>
        <w:spacing w:line="480" w:lineRule="auto"/>
        <w:jc w:val="both"/>
        <w:rPr>
          <w:lang w:val="en-US"/>
        </w:rPr>
      </w:pPr>
      <w:r>
        <w:rPr>
          <w:lang w:val="en-US"/>
        </w:rPr>
        <w:t xml:space="preserve">Protein aggregation is a major concern to regulatory agencies across the world. Not only </w:t>
      </w:r>
      <w:r w:rsidR="00D41595">
        <w:rPr>
          <w:lang w:val="en-US"/>
        </w:rPr>
        <w:t>can</w:t>
      </w:r>
      <w:r>
        <w:rPr>
          <w:lang w:val="en-US"/>
        </w:rPr>
        <w:t xml:space="preserve"> aggregation cause a decrease in biologic</w:t>
      </w:r>
      <w:r w:rsidR="00942F4C">
        <w:rPr>
          <w:lang w:val="en-US"/>
        </w:rPr>
        <w:t>al</w:t>
      </w:r>
      <w:r>
        <w:rPr>
          <w:lang w:val="en-US"/>
        </w:rPr>
        <w:t xml:space="preserve"> activity,</w:t>
      </w:r>
      <w:r w:rsidR="00D41595">
        <w:rPr>
          <w:lang w:val="en-US"/>
        </w:rPr>
        <w:t xml:space="preserve"> but</w:t>
      </w:r>
      <w:r>
        <w:rPr>
          <w:lang w:val="en-US"/>
        </w:rPr>
        <w:t xml:space="preserve"> the resulting </w:t>
      </w:r>
      <w:r w:rsidR="00942F4C">
        <w:rPr>
          <w:lang w:val="en-US"/>
        </w:rPr>
        <w:t>aggregates</w:t>
      </w:r>
      <w:r>
        <w:rPr>
          <w:lang w:val="en-US"/>
        </w:rPr>
        <w:t xml:space="preserve"> have also been raising serious safety concerns</w:t>
      </w:r>
      <w:r w:rsidR="000B172C">
        <w:rPr>
          <w:lang w:val="en-US"/>
        </w:rPr>
        <w:t xml:space="preserve"> as</w:t>
      </w:r>
      <w:r>
        <w:rPr>
          <w:lang w:val="en-US"/>
        </w:rPr>
        <w:t xml:space="preserve"> </w:t>
      </w:r>
      <w:r w:rsidR="00942F4C">
        <w:rPr>
          <w:lang w:val="en-US"/>
        </w:rPr>
        <w:t>they</w:t>
      </w:r>
      <w:r w:rsidR="00D41595">
        <w:rPr>
          <w:lang w:val="en-US"/>
        </w:rPr>
        <w:t xml:space="preserve"> can</w:t>
      </w:r>
      <w:r w:rsidR="000B172C">
        <w:rPr>
          <w:lang w:val="en-US"/>
        </w:rPr>
        <w:t xml:space="preserve"> </w:t>
      </w:r>
      <w:r>
        <w:rPr>
          <w:lang w:val="en-US"/>
        </w:rPr>
        <w:t xml:space="preserve">induce immunogenic side reactions upon </w:t>
      </w:r>
      <w:r w:rsidR="00D41595">
        <w:rPr>
          <w:lang w:val="en-US"/>
        </w:rPr>
        <w:t>parenteral</w:t>
      </w:r>
      <w:r>
        <w:rPr>
          <w:lang w:val="en-US"/>
        </w:rPr>
        <w:t xml:space="preserve"> injection</w:t>
      </w:r>
      <w:r w:rsidR="00942F4C">
        <w:rPr>
          <w:lang w:val="en-US"/>
        </w:rPr>
        <w:fldChar w:fldCharType="begin" w:fldLock="1"/>
      </w:r>
      <w:r w:rsidR="00E77D77">
        <w:rPr>
          <w:lang w:val="en-US"/>
        </w:rPr>
        <w:instrText>ADDIN CSL_CITATION {"citationItems":[{"id":"ITEM-1","itemData":{"DOI":"10.3109/1547691X.2013.821564","ISBN":"1547-6901 (Electronic)\\r1547-691X (Linking)","ISSN":"1547-691X","PMID":"23919460","abstract":"The elicitation of anti-drug antibodies (ADA) against biotherapeutics can have detrimental effects on drug safety, efficacy, and pharmacokinetics. The immunogenicity of biotherapeutics is, therefore, an important issue. There is evidence that protein aggregation can result in enhanced immunogenicity; however, the precise immunological and biochemical mechanisms responsible are poorly defined. In the context of biotherapeutic drug development and safety assessment, understanding the mechanisms underlying aggregate immunogenicity is of considerable interest. This review provides an overview of the phenomenon of protein aggregation, the production of unwanted aggregates during bioprocessing, and how the immune response to aggregated protein differs from that provoked by non-aggregated protein. Of particular interest is the nature of the interaction of aggregates with the immune system and how subsequent ADA responses are induced. Pathways considered here include 'classical' activation of the immune system involving antigen presenting cells and, alternatively, the breakdown of B-cell tolerance. Additionally, methods available to screen for aggregation and immunogenicity will be described. With an increased understanding of aggregation-enhanced immune responses, it may be possible to develop improved manufacturing and screening processes to avoid, or at least reduce, the problems associated with ADA.","author":[{"dropping-particle":"","family":"Ratanji","given":"Kirsty D.","non-dropping-particle":"","parse-names":false,"suffix":""},{"dropping-particle":"","family":"Derrick","given":"Jeremy P.","non-dropping-particle":"","parse-names":false,"suffix":""},{"dropping-particle":"","family":"Dearman","given":"Rebecca J.","non-dropping-particle":"","parse-names":false,"suffix":""},{"dropping-particle":"","family":"Kimber","given":"Ian","non-dropping-particle":"","parse-names":false,"suffix":""}],"container-title":"Journal of Immunotoxicology","id":"ITEM-1","issue":"2","issued":{"date-parts":[["2014"]]},"page":"99-109","publisher":"Informa Healthcare","title":"Immunogenicity of therapeutic proteins: Influence of aggregation","type":"article-journal","volume":"11"},"uris":["http://www.mendeley.com/documents/?uuid=a39e84c9-86c1-492f-b254-3fc8f5433f9b"]}],"mendeley":{"formattedCitation":"(1)","plainTextFormattedCitation":"(1)","previouslyFormattedCitation":"&lt;sup&gt;1&lt;/sup&gt;"},"properties":{"noteIndex":0},"schema":"https://github.com/citation-style-language/schema/raw/master/csl-citation.json"}</w:instrText>
      </w:r>
      <w:r w:rsidR="00942F4C">
        <w:rPr>
          <w:lang w:val="en-US"/>
        </w:rPr>
        <w:fldChar w:fldCharType="separate"/>
      </w:r>
      <w:r w:rsidR="00E77D77" w:rsidRPr="00E77D77">
        <w:rPr>
          <w:noProof/>
          <w:lang w:val="en-US"/>
        </w:rPr>
        <w:t>(1)</w:t>
      </w:r>
      <w:r w:rsidR="00942F4C">
        <w:rPr>
          <w:lang w:val="en-US"/>
        </w:rPr>
        <w:fldChar w:fldCharType="end"/>
      </w:r>
      <w:r>
        <w:rPr>
          <w:lang w:val="en-US"/>
        </w:rPr>
        <w:t>. Pharmaceutical companies therefore strive to inhibit the formation of protein aggregates early on during drug development</w:t>
      </w:r>
      <w:r w:rsidR="007C297C">
        <w:rPr>
          <w:lang w:val="en-US"/>
        </w:rPr>
        <w:fldChar w:fldCharType="begin" w:fldLock="1"/>
      </w:r>
      <w:r w:rsidR="00E77D77">
        <w:rPr>
          <w:lang w:val="en-US"/>
        </w:rPr>
        <w:instrText>ADDIN CSL_CITATION {"citationItems":[{"id":"ITEM-1","itemData":{"DOI":"10.1002/pro.2684","ISSN":"1469-896X","PMID":"25858529","abstract":"It is well recognized that protein product development is far more challenging than that for small-molecule drugs. The major challenges include inherent sensitivity to different types of stresses during the drug product manufacturing process, high rate of physical and chemical degradation during long-term storage, and enhanfile:///C:/Users/andt88/Downloads/Wang-2015-Protein_Science.pdfced aggregation and/or viscosity at high protein concentrations. In the past decade, many novel formulation concepts and technologies have been or are being developed to address these product development challenges for proteins. These concepts and technologies include use of uncommon/combination of formulation stabilizers, conjugation or fusion with potential stabilizers, site-specific mutagenesis, and preparation of nontraditional types of dosage forms-semiaqueous solutions, nonfreeze-dried solid formulations, suspensions, and other emerging concepts. No one technology appears to be mature, ideal, and/or adequate to address all the challenges. These gaps will likely remain in the foreseeable future and need significant efforts for ultimate resolution.","author":[{"dropping-particle":"","family":"Wang","given":"Wei","non-dropping-particle":"","parse-names":false,"suffix":""}],"container-title":"Protein science : a publication of the Protein Society","id":"ITEM-1","issue":"7","issued":{"date-parts":[["2015","7"]]},"page":"1031-9","publisher":"Wiley-Blackwell","title":"Advanced protein formulations.","type":"article-journal","volume":"24"},"uris":["http://www.mendeley.com/documents/?uuid=1e6e32ee-23b5-3e7f-9901-0c4c3aaf99ff"]}],"mendeley":{"formattedCitation":"(2)","plainTextFormattedCitation":"(2)","previouslyFormattedCitation":"&lt;sup&gt;2&lt;/sup&gt;"},"properties":{"noteIndex":0},"schema":"https://github.com/citation-style-language/schema/raw/master/csl-citation.json"}</w:instrText>
      </w:r>
      <w:r w:rsidR="007C297C">
        <w:rPr>
          <w:lang w:val="en-US"/>
        </w:rPr>
        <w:fldChar w:fldCharType="separate"/>
      </w:r>
      <w:r w:rsidR="00E77D77" w:rsidRPr="00E77D77">
        <w:rPr>
          <w:noProof/>
          <w:lang w:val="en-US"/>
        </w:rPr>
        <w:t>(2)</w:t>
      </w:r>
      <w:r w:rsidR="007C297C">
        <w:rPr>
          <w:lang w:val="en-US"/>
        </w:rPr>
        <w:fldChar w:fldCharType="end"/>
      </w:r>
      <w:r>
        <w:rPr>
          <w:lang w:val="en-US"/>
        </w:rPr>
        <w:t>.</w:t>
      </w:r>
      <w:r w:rsidR="00F33BEE">
        <w:rPr>
          <w:lang w:val="en-US"/>
        </w:rPr>
        <w:t xml:space="preserve"> Diagnostic proteins are another potential target to be stabilized by novel excipients.</w:t>
      </w:r>
    </w:p>
    <w:p w14:paraId="6671BA1D" w14:textId="2DEAB98F" w:rsidR="001B2486" w:rsidRDefault="00B3187C" w:rsidP="001D0903">
      <w:pPr>
        <w:spacing w:line="480" w:lineRule="auto"/>
        <w:jc w:val="both"/>
        <w:rPr>
          <w:lang w:val="en-US"/>
        </w:rPr>
      </w:pPr>
      <w:r>
        <w:rPr>
          <w:lang w:val="en-US"/>
        </w:rPr>
        <w:t xml:space="preserve">The </w:t>
      </w:r>
      <w:r w:rsidR="0083297A">
        <w:rPr>
          <w:lang w:val="en-US"/>
        </w:rPr>
        <w:t>process</w:t>
      </w:r>
      <w:r>
        <w:rPr>
          <w:lang w:val="en-US"/>
        </w:rPr>
        <w:t xml:space="preserve"> of protein aggregation </w:t>
      </w:r>
      <w:r w:rsidR="00ED4C07">
        <w:rPr>
          <w:lang w:val="en-US"/>
        </w:rPr>
        <w:t>is</w:t>
      </w:r>
      <w:r>
        <w:rPr>
          <w:lang w:val="en-US"/>
        </w:rPr>
        <w:t xml:space="preserve"> very complex</w:t>
      </w:r>
      <w:r w:rsidR="00447697">
        <w:rPr>
          <w:lang w:val="en-US"/>
        </w:rPr>
        <w:t>, with thermodynamics and kinetics</w:t>
      </w:r>
      <w:r w:rsidR="00ED5580">
        <w:rPr>
          <w:lang w:val="en-US"/>
        </w:rPr>
        <w:t xml:space="preserve"> </w:t>
      </w:r>
      <w:r>
        <w:rPr>
          <w:lang w:val="en-US"/>
        </w:rPr>
        <w:t>depending on formulation</w:t>
      </w:r>
      <w:r w:rsidR="00ED4C07">
        <w:rPr>
          <w:lang w:val="en-US"/>
        </w:rPr>
        <w:t xml:space="preserve"> conditions</w:t>
      </w:r>
      <w:r w:rsidR="00ED5580">
        <w:rPr>
          <w:lang w:val="en-US"/>
        </w:rPr>
        <w:t>, stress</w:t>
      </w:r>
      <w:r>
        <w:rPr>
          <w:lang w:val="en-US"/>
        </w:rPr>
        <w:t>, protein sequence and structure</w:t>
      </w:r>
      <w:r w:rsidR="00872046">
        <w:rPr>
          <w:lang w:val="en-US"/>
        </w:rPr>
        <w:fldChar w:fldCharType="begin" w:fldLock="1"/>
      </w:r>
      <w:r w:rsidR="00E77D77">
        <w:rPr>
          <w:lang w:val="en-US"/>
        </w:rPr>
        <w:instrText>ADDIN CSL_CITATION {"citationItems":[{"id":"ITEM-1","itemData":{"DOI":"10.1016/j.copbio.2014.08.001","ISBN":"0958-1669","ISSN":"18790429","PMID":"25173826","abstract":"Protein pharmaceutical products are typically active as folded monomers that are composed of one or more protein chains, such as the heavy and light chains in monoclonal antibodies that are a mainstay of current drug pipelines. There are numerous possible aggregated states for a given protein, some of which are potentially useful, while most of which are considered deleterious from the perspective of pharmaceutical product quality and performance. This review provides an overview of how and why different aggregated states of proteins occur, how this potentially impacts product quality and performance, fundamental approaches to control aggregate formation, and the practical approaches that are currently used in the pharmaceutical industry. © 2014 Elsevier Ltd.","author":[{"dropping-particle":"","family":"Roberts","given":"Christopher J.","non-dropping-particle":"","parse-names":false,"suffix":""}],"container-title":"Current Opinion in Biotechnology","id":"ITEM-1","issue":"0","issued":{"date-parts":[["2014"]]},"page":"211-217","title":"Protein aggregation and its impact on product quality","type":"article-journal","volume":"30"},"uris":["http://www.mendeley.com/documents/?uuid=2daff962-3f1d-4810-99c1-c2309da8f6c6"]}],"mendeley":{"formattedCitation":"(3)","plainTextFormattedCitation":"(3)","previouslyFormattedCitation":"&lt;sup&gt;3&lt;/sup&gt;"},"properties":{"noteIndex":0},"schema":"https://github.com/citation-style-language/schema/raw/master/csl-citation.json"}</w:instrText>
      </w:r>
      <w:r w:rsidR="00872046">
        <w:rPr>
          <w:lang w:val="en-US"/>
        </w:rPr>
        <w:fldChar w:fldCharType="separate"/>
      </w:r>
      <w:r w:rsidR="00E77D77" w:rsidRPr="00E77D77">
        <w:rPr>
          <w:noProof/>
          <w:lang w:val="en-US"/>
        </w:rPr>
        <w:t>(3)</w:t>
      </w:r>
      <w:r w:rsidR="00872046">
        <w:rPr>
          <w:lang w:val="en-US"/>
        </w:rPr>
        <w:fldChar w:fldCharType="end"/>
      </w:r>
      <w:r w:rsidR="00872046">
        <w:rPr>
          <w:lang w:val="en-US"/>
        </w:rPr>
        <w:t>.</w:t>
      </w:r>
      <w:r w:rsidR="00ED5580">
        <w:rPr>
          <w:lang w:val="en-US"/>
        </w:rPr>
        <w:t xml:space="preserve"> Depending on the mechanism of aggregation, the resulting aggregates can consist of native or (partially) unfolded protein molecules.</w:t>
      </w:r>
      <w:r>
        <w:rPr>
          <w:lang w:val="en-US"/>
        </w:rPr>
        <w:t xml:space="preserve"> </w:t>
      </w:r>
      <w:r w:rsidR="00900154">
        <w:rPr>
          <w:lang w:val="en-US"/>
        </w:rPr>
        <w:t>As shown by mutation experiments, h</w:t>
      </w:r>
      <w:r>
        <w:rPr>
          <w:lang w:val="en-US"/>
        </w:rPr>
        <w:t xml:space="preserve">ydrophobic patches on the proteins surface, so called </w:t>
      </w:r>
      <w:r w:rsidR="00ED4C07">
        <w:rPr>
          <w:lang w:val="en-US"/>
        </w:rPr>
        <w:lastRenderedPageBreak/>
        <w:t xml:space="preserve">aggregation </w:t>
      </w:r>
      <w:r>
        <w:rPr>
          <w:lang w:val="en-US"/>
        </w:rPr>
        <w:t>hot-spots</w:t>
      </w:r>
      <w:r w:rsidR="00F33BEE">
        <w:rPr>
          <w:lang w:val="en-US"/>
        </w:rPr>
        <w:t>,</w:t>
      </w:r>
      <w:r>
        <w:rPr>
          <w:lang w:val="en-US"/>
        </w:rPr>
        <w:t xml:space="preserve"> are crucial to the formation of protein-protein interfaces, a key step in the formation of aggregates</w:t>
      </w:r>
      <w:r>
        <w:rPr>
          <w:lang w:val="en-US"/>
        </w:rPr>
        <w:fldChar w:fldCharType="begin" w:fldLock="1"/>
      </w:r>
      <w:r w:rsidR="00E77D77">
        <w:rPr>
          <w:lang w:val="en-US"/>
        </w:rPr>
        <w:instrText>ADDIN CSL_CITATION {"citationItems":[{"id":"ITEM-1","itemData":{"DOI":"10.1126/science.7529940","ISBN":"0036-8075 (Print)\\r0036-8075 (Linking)","ISSN":"0036-8075","PMID":"7529940","abstract":"The x-ray crystal structure of the complex between human growth hormone (hGH) and the extracellular domian of its first bound receptor (hGHbp) shows that about 30 side chains from each protein make contact. Individual replacement of contact residues in the hGHbp with alanine showed that a central hydrophobic region, dominated by two tryptophan residues, accounts for more than three-quarters of the binding free energy. This \"functional epitope\" is surrounded by less important contact residues that are generally hydrophilic and partially hydrated, so that the interface resembles a cross section through a globular protein. The functionally important residues on the hGHbp directly contact those on hGH. Thus, only a small and complementary set of contact residues maintains binding affinity, a property that may be general to protein-protein interfaces.","author":[{"dropping-particle":"","family":"Clackson","given":"T","non-dropping-particle":"","parse-names":false,"suffix":""},{"dropping-particle":"","family":"Wells","given":"J a","non-dropping-particle":"","parse-names":false,"suffix":""}],"container-title":"Science","id":"ITEM-1","issue":"5196","issued":{"date-parts":[["1995"]]},"page":"383-386","title":"A hot spot of binding energy in a hormone-receptor interface.","type":"article-journal","volume":"267"},"uris":["http://www.mendeley.com/documents/?uuid=e8f6a490-02d6-476b-9ecc-d1c7beec9c01"]}],"mendeley":{"formattedCitation":"(4)","plainTextFormattedCitation":"(4)","previouslyFormattedCitation":"&lt;sup&gt;4&lt;/sup&gt;"},"properties":{"noteIndex":0},"schema":"https://github.com/citation-style-language/schema/raw/master/csl-citation.json"}</w:instrText>
      </w:r>
      <w:r>
        <w:rPr>
          <w:lang w:val="en-US"/>
        </w:rPr>
        <w:fldChar w:fldCharType="separate"/>
      </w:r>
      <w:r w:rsidR="00E77D77" w:rsidRPr="00E77D77">
        <w:rPr>
          <w:noProof/>
          <w:lang w:val="en-US"/>
        </w:rPr>
        <w:t>(4)</w:t>
      </w:r>
      <w:r>
        <w:rPr>
          <w:lang w:val="en-US"/>
        </w:rPr>
        <w:fldChar w:fldCharType="end"/>
      </w:r>
      <w:r w:rsidR="00872046">
        <w:rPr>
          <w:lang w:val="en-US"/>
        </w:rPr>
        <w:t>.</w:t>
      </w:r>
      <w:r>
        <w:rPr>
          <w:lang w:val="en-US"/>
        </w:rPr>
        <w:t xml:space="preserve"> </w:t>
      </w:r>
      <w:r w:rsidR="001B2486">
        <w:rPr>
          <w:lang w:val="en-US"/>
        </w:rPr>
        <w:t>There is a long list of available</w:t>
      </w:r>
      <w:r w:rsidR="00ED4C07">
        <w:rPr>
          <w:lang w:val="en-US"/>
        </w:rPr>
        <w:t xml:space="preserve"> computational</w:t>
      </w:r>
      <w:r w:rsidR="001B2486">
        <w:rPr>
          <w:lang w:val="en-US"/>
        </w:rPr>
        <w:t xml:space="preserve"> tools to identify aggregation hot</w:t>
      </w:r>
      <w:r w:rsidR="00ED4C07">
        <w:rPr>
          <w:lang w:val="en-US"/>
        </w:rPr>
        <w:t>-</w:t>
      </w:r>
      <w:r w:rsidR="001B2486">
        <w:rPr>
          <w:lang w:val="en-US"/>
        </w:rPr>
        <w:t xml:space="preserve">spots </w:t>
      </w:r>
      <w:r w:rsidR="00ED4C07">
        <w:rPr>
          <w:lang w:val="en-US"/>
        </w:rPr>
        <w:t>from</w:t>
      </w:r>
      <w:r w:rsidR="001B2486">
        <w:rPr>
          <w:lang w:val="en-US"/>
        </w:rPr>
        <w:t xml:space="preserve"> a protein’s </w:t>
      </w:r>
      <w:r w:rsidR="00ED4C07">
        <w:rPr>
          <w:lang w:val="en-US"/>
        </w:rPr>
        <w:t xml:space="preserve">primary </w:t>
      </w:r>
      <w:r w:rsidR="001B2486">
        <w:rPr>
          <w:lang w:val="en-US"/>
        </w:rPr>
        <w:t>sequence</w:t>
      </w:r>
      <w:r w:rsidR="001B2486">
        <w:rPr>
          <w:lang w:val="en-US"/>
        </w:rPr>
        <w:fldChar w:fldCharType="begin" w:fldLock="1"/>
      </w:r>
      <w:r w:rsidR="00E77D77">
        <w:rPr>
          <w:lang w:val="en-US"/>
        </w:rPr>
        <w:instrText>ADDIN CSL_CITATION {"citationItems":[{"id":"ITEM-1","itemData":{"DOI":"10.1038/nbt1012","ISBN":"1087-0156","ISSN":"1087-0156","PMID":"15361882","abstract":"We have developed a statistical mechanics algorithm, TANGO, to predict protein aggregation. TANGO is based on the physico-chemical principles of beta-sheet formation, extended by the assumption that the core regions of an aggregate are fully buried. Our algorithm accurately predicts the aggregation of a data set of 179 peptides compiled from the literature as well as of a new set of 71 peptides derived from human disease-related proteins, including prion protein, lysozyme and beta2-microglobulin. TANGO also correctly predicts pathogenic as well as protective mutations of the Alzheimer beta-peptide, human lysozyme and transthyretin, and discriminates between beta-sheet propensity and aggregation. Our results confirm the model of intermolecular beta-sheet formation as a widespread underlying mechanism of protein aggregation. Furthermore, the algorithm opens the door to a fully automated, sequence-based design strategy to improve the aggregation properties of proteins of scientific or industrial interest.","author":[{"dropping-particle":"","family":"Fernandez-Escamilla","given":"Ana-Maria","non-dropping-particle":"","parse-names":false,"suffix":""},{"dropping-particle":"","family":"Rousseau","given":"Frederic","non-dropping-particle":"","parse-names":false,"suffix":""},{"dropping-particle":"","family":"Schymkowitz","given":"Joost","non-dropping-particle":"","parse-names":false,"suffix":""},{"dropping-particle":"","family":"Serrano","given":"Luis","non-dropping-particle":"","parse-names":false,"suffix":""}],"container-title":"Nature Biotechnology","id":"ITEM-1","issue":"10","issued":{"date-parts":[["2004"]]},"page":"1302-1306","title":"Prediction of sequence-dependent and mutational effects on the aggregation of peptides and proteins","type":"article-journal","volume":"22"},"uris":["http://www.mendeley.com/documents/?uuid=cc633c19-5a99-47e9-ac91-fc469b58c453"]},{"id":"ITEM-2","itemData":{"DOI":"10.1186/1471-2105-8-65","ISBN":"1471-2105 (Electronic)","ISSN":"14712105","PMID":"17324296","abstract":"BACKGROUND: Protein aggregation correlates with the development of several debilitating human disorders of growing incidence, such as Alzheimer's and Parkinson's diseases. On the biotechnological side, protein production is often hampered by the accumulation of recombinant proteins into aggregates. Thus, the development of methods to anticipate the aggregation properties of polypeptides is receiving increasing attention. AGGRESCAN is a web-based software for the prediction of aggregation-prone segments in protein sequences, the analysis of the effect of mutations on protein aggregation propensities and the comparison of the aggregation properties of different proteins or protein sets. RESULTS: AGGRESCAN is based on an aggregation-propensity scale for natural amino acids derived from in vivo experiments and on the assumption that short and specific sequence stretches modulate protein aggregation. The algorithm is shown to identify a series of protein fragments involved in the aggregation of disease-related proteins and to predict the effect of genetic mutations on their deposition propensities. It also provides new insights into the differential aggregation properties displayed by globular proteins, natively unfolded polypeptides, amyloidogenic proteins and proteins found in bacterial inclusion bodies. CONCLUSION: By identifying aggregation-prone segments in proteins, AGGRESCAN http://bioinf.uab.es/aggrescan/ shall facilitate (i) the identification of possible therapeutic targets for anti-depositional strategies in conformational diseases and (ii) the anticipation of aggregation phenomena during storage or recombinant production of bioactive polypeptides or polypeptide sets.","author":[{"dropping-particle":"","family":"Conchillo-Solé","given":"Oscar","non-dropping-particle":"","parse-names":false,"suffix":""},{"dropping-particle":"","family":"Groot","given":"Natalia S","non-dropping-particle":"de","parse-names":false,"suffix":""},{"dropping-particle":"","family":"Avilés","given":"Francesc X","non-dropping-particle":"","parse-names":false,"suffix":""},{"dropping-particle":"","family":"Vendrell","given":"Josep","non-dropping-particle":"","parse-names":false,"suffix":""},{"dropping-particle":"","family":"Daura","given":"Xavier","non-dropping-particle":"","parse-names":false,"suffix":""},{"dropping-particle":"","family":"Ventura","given":"Salvador","non-dropping-particle":"","parse-names":false,"suffix":""}],"container-title":"BMC Bioinformatics","id":"ITEM-2","issue":"8","issued":{"date-parts":[["2007"]]},"title":"AGGRESCAN: a server for the prediction and evaluation of \"hot spots\" of aggregation in polypeptides","type":"article-journal","volume":"65"},"uris":["http://www.mendeley.com/documents/?uuid=00abc85b-3b4a-4337-b3f2-b2137a130f55"]},{"id":"ITEM-3","itemData":{"DOI":"10.1093/protein/gzm042","ISBN":"1741-0126","ISSN":"17410126","PMID":"17720750","abstract":"Many different proteins aggregate into amyloid fibrils characterized by cross-beta structure. beta-strands contributed by distinct protein molecules are generally found in a parallel in-register alignment. Here, we describe the web server for a novel algorithm, prediction of amyloid structure aggregation (PASTA), to predict the most aggregation-prone portions and the corresponding beta-strand inter-molecular pairing for a given input sequence. PASTA was previously shown to yield results in excellent agreement with available experimental observations, when tested on both natively unfolded and structured proteins. The web server and downloadable source code are freely accessible from the URL: http://protein.cribi.unipd.it/pasta/.","author":[{"dropping-particle":"","family":"Trovato","given":"Antonio","non-dropping-particle":"","parse-names":false,"suffix":""},{"dropping-particle":"","family":"Seno","given":"Flavio","non-dropping-particle":"","parse-names":false,"suffix":""},{"dropping-particle":"","family":"Tosatto","given":"Silvio C E","non-dropping-particle":"","parse-names":false,"suffix":""}],"container-title":"Protein Engineering, Design and Selection","id":"ITEM-3","issue":"10","issued":{"date-parts":[["2007"]]},"page":"521-523","title":"The PASTA server for protein aggregation prediction","type":"article-journal","volume":"20"},"uris":["http://www.mendeley.com/documents/?uuid=246f41dd-d8c3-41bb-8ac6-199a4fd78166"]}],"mendeley":{"formattedCitation":"(5–7)","plainTextFormattedCitation":"(5–7)","previouslyFormattedCitation":"&lt;sup&gt;5–7&lt;/sup&gt;"},"properties":{"noteIndex":0},"schema":"https://github.com/citation-style-language/schema/raw/master/csl-citation.json"}</w:instrText>
      </w:r>
      <w:r w:rsidR="001B2486">
        <w:rPr>
          <w:lang w:val="en-US"/>
        </w:rPr>
        <w:fldChar w:fldCharType="separate"/>
      </w:r>
      <w:r w:rsidR="00E77D77" w:rsidRPr="00E77D77">
        <w:rPr>
          <w:noProof/>
          <w:lang w:val="en-US"/>
        </w:rPr>
        <w:t>(5–7)</w:t>
      </w:r>
      <w:r w:rsidR="001B2486">
        <w:rPr>
          <w:lang w:val="en-US"/>
        </w:rPr>
        <w:fldChar w:fldCharType="end"/>
      </w:r>
      <w:r w:rsidR="001B2486">
        <w:rPr>
          <w:lang w:val="en-US"/>
        </w:rPr>
        <w:t>. Aggrescan3D</w:t>
      </w:r>
      <w:r w:rsidR="00A8418F">
        <w:rPr>
          <w:lang w:val="en-US"/>
        </w:rPr>
        <w:t xml:space="preserve"> (A3D)</w:t>
      </w:r>
      <w:r w:rsidR="001B2486">
        <w:rPr>
          <w:lang w:val="en-US"/>
        </w:rPr>
        <w:t xml:space="preserve"> additionally takes into account the </w:t>
      </w:r>
      <w:r w:rsidR="00ED4C07">
        <w:rPr>
          <w:lang w:val="en-US"/>
        </w:rPr>
        <w:t xml:space="preserve">tertiary </w:t>
      </w:r>
      <w:r w:rsidR="001B2486">
        <w:rPr>
          <w:lang w:val="en-US"/>
        </w:rPr>
        <w:t>structural information of the protein, mitigating the risk of false positive results from hydrophobic residues buried within the protein fold</w:t>
      </w:r>
      <w:r w:rsidR="001B2486">
        <w:rPr>
          <w:lang w:val="en-US"/>
        </w:rPr>
        <w:fldChar w:fldCharType="begin" w:fldLock="1"/>
      </w:r>
      <w:r w:rsidR="00E77D77">
        <w:rPr>
          <w:lang w:val="en-US"/>
        </w:rPr>
        <w:instrText>ADDIN CSL_CITATION {"citationItems":[{"id":"ITEM-1","itemData":{"DOI":"10.1093/nar/gkv359","ISSN":"13624962","PMID":"25883144","abstract":"Protein aggregation underlies an increasing number of disorders and constitutes a major bottleneck in the development of therapeutic proteins. Our present understanding on the molecular determinants of protein aggregation has crystalized in a series of predictive algorithms to identify aggregation-prone sites. A majority of these methods rely only on sequence. Therefore, they find difficulties to predict the aggregation properties of folded globular proteins, where aggregation-prone sites are often not contiguous in sequence or buried inside the native structure. The AGGRESCAN3D (A3D) server overcomes these limitations by taking into account the protein structure and the experimental aggregation propensity scale from the well-established AGGRESCAN method. Using the A3D server, the identified aggregation-prone residues can be virtually mutated to design variants with increased solubility, or to test the impact of pathogenic mutations. Additionally, A3D server enables to take into account the dynamic fluctuations of protein structure in solution, which may influence aggregation propensity. This is possible in A3D Dynamic Mode that exploits the CABS-flex approach for the fast simulations of flexibility of globular proteins. The A3D server can be accessed at http://biocomp.chem.uw.edu.pl/A3D/.","author":[{"dropping-particle":"","family":"Zambrano","given":"Rafael","non-dropping-particle":"","parse-names":false,"suffix":""},{"dropping-particle":"","family":"Jamroz","given":"Michal","non-dropping-particle":"","parse-names":false,"suffix":""},{"dropping-particle":"","family":"Szczasiuk","given":"Agata","non-dropping-particle":"","parse-names":false,"suffix":""},{"dropping-particle":"","family":"Pujols","given":"Jordi","non-dropping-particle":"","parse-names":false,"suffix":""},{"dropping-particle":"","family":"Kmiecik","given":"Sebastian","non-dropping-particle":"","parse-names":false,"suffix":""},{"dropping-particle":"","family":"Ventura","given":"Salvador","non-dropping-particle":"","parse-names":false,"suffix":""}],"container-title":"Nucleic Acids Research","id":"ITEM-1","issue":"W1","issued":{"date-parts":[["2015"]]},"page":"W306-W313","title":"AGGRESCAN3D (A3D): Server for prediction of aggregation properties of protein structures","type":"article-journal","volume":"43"},"uris":["http://www.mendeley.com/documents/?uuid=f3ea0ee1-345a-493e-a7db-f3d355a3bbc9"]}],"mendeley":{"formattedCitation":"(8)","plainTextFormattedCitation":"(8)","previouslyFormattedCitation":"&lt;sup&gt;8&lt;/sup&gt;"},"properties":{"noteIndex":0},"schema":"https://github.com/citation-style-language/schema/raw/master/csl-citation.json"}</w:instrText>
      </w:r>
      <w:r w:rsidR="001B2486">
        <w:rPr>
          <w:lang w:val="en-US"/>
        </w:rPr>
        <w:fldChar w:fldCharType="separate"/>
      </w:r>
      <w:r w:rsidR="00E77D77" w:rsidRPr="00E77D77">
        <w:rPr>
          <w:noProof/>
          <w:lang w:val="en-US"/>
        </w:rPr>
        <w:t>(8)</w:t>
      </w:r>
      <w:r w:rsidR="001B2486">
        <w:rPr>
          <w:lang w:val="en-US"/>
        </w:rPr>
        <w:fldChar w:fldCharType="end"/>
      </w:r>
      <w:r w:rsidR="001B2486">
        <w:rPr>
          <w:lang w:val="en-US"/>
        </w:rPr>
        <w:t>.</w:t>
      </w:r>
      <w:r w:rsidR="00165608">
        <w:rPr>
          <w:lang w:val="en-US"/>
        </w:rPr>
        <w:t xml:space="preserve"> </w:t>
      </w:r>
    </w:p>
    <w:p w14:paraId="58CB7903" w14:textId="74AF1F32" w:rsidR="00A24285" w:rsidRPr="00A24285" w:rsidRDefault="00A24285" w:rsidP="001D0903">
      <w:pPr>
        <w:spacing w:line="480" w:lineRule="auto"/>
        <w:jc w:val="both"/>
        <w:rPr>
          <w:i/>
          <w:u w:val="single"/>
          <w:lang w:val="en-US"/>
        </w:rPr>
      </w:pPr>
      <w:r w:rsidRPr="00A24285">
        <w:rPr>
          <w:i/>
          <w:u w:val="single"/>
          <w:lang w:val="en-US"/>
        </w:rPr>
        <w:t>Excipients</w:t>
      </w:r>
    </w:p>
    <w:p w14:paraId="033E94F0" w14:textId="7D69E9C9" w:rsidR="00A24285" w:rsidRDefault="008C6819" w:rsidP="00A129E5">
      <w:pPr>
        <w:spacing w:line="480" w:lineRule="auto"/>
        <w:jc w:val="both"/>
        <w:rPr>
          <w:lang w:val="en-US"/>
        </w:rPr>
      </w:pPr>
      <w:r>
        <w:rPr>
          <w:lang w:val="en-US"/>
        </w:rPr>
        <w:t>Excipients reduce protein aggregation by various mechanisms of action</w:t>
      </w:r>
      <w:r w:rsidR="00164CD2">
        <w:rPr>
          <w:lang w:val="en-US"/>
        </w:rPr>
        <w:t xml:space="preserve">. </w:t>
      </w:r>
      <w:r w:rsidR="002870B3">
        <w:rPr>
          <w:lang w:val="en-US"/>
        </w:rPr>
        <w:t>Computational studies suggest that arginine binds non-covalently to certain sites on a protein</w:t>
      </w:r>
      <w:r w:rsidR="002870B3">
        <w:rPr>
          <w:lang w:val="en-US"/>
        </w:rPr>
        <w:fldChar w:fldCharType="begin" w:fldLock="1"/>
      </w:r>
      <w:r w:rsidR="00E77D77">
        <w:rPr>
          <w:lang w:val="en-US"/>
        </w:rPr>
        <w:instrText>ADDIN CSL_CITATION {"citationItems":[{"id":"ITEM-1","itemData":{"DOI":"10.3390/ijms17060853","ISSN":"14220067","abstract":"Protein formulation development relies on the selection of excipients that inhibit protein–protein interactions preventing aggregation. Empirical strategies involve screening many excipient and buffer combinations using force degradation studies. Such methods do not readily provide information on intermolecular interactions responsible for the protective effects of excipients. This study describes a molecular docking approach to screen and rank interactions allowing for the identification of protein–excipient hotspots to aid in the selection of excipients to be experimentally screened. Previously published work with Drosophila Su(dx) was used to develop and validate the computational methodology, which was then used to determine the formulation hotspots for Fab A33. Commonly used excipients were examined and compared to the regions in Fab A33 prone to protein–protein interactions that could lead to aggregation. This approach could provide information on a molecular level about the protective interactions of excipients in protein formulations to aid the more rational development of future formulations.","author":[{"dropping-particle":"","family":"Barata","given":"Teresa S.","non-dropping-particle":"","parse-names":false,"suffix":""},{"dropping-particle":"","family":"Zhang","given":"Cheng","non-dropping-particle":"","parse-names":false,"suffix":""},{"dropping-particle":"","family":"Dalby","given":"Paul A.","non-dropping-particle":"","parse-names":false,"suffix":""},{"dropping-particle":"","family":"Brocchini","given":"Steve","non-dropping-particle":"","parse-names":false,"suffix":""},{"dropping-particle":"","family":"Zloh","given":"Mire","non-dropping-particle":"","parse-names":false,"suffix":""}],"container-title":"International Journal of Molecular Sciences","id":"ITEM-1","issue":"6","issued":{"date-parts":[["2016","6"]]},"language":"en","title":"Identification of protein-excipient interaction hotspots using computational approaches","type":"article-journal","volume":"17"},"uris":["http://www.mendeley.com/documents/?uuid=6e2000c9-16bc-4e7d-9781-5f5534dad269"]}],"mendeley":{"formattedCitation":"(9)","plainTextFormattedCitation":"(9)","previouslyFormattedCitation":"&lt;sup&gt;9&lt;/sup&gt;"},"properties":{"noteIndex":0},"schema":"https://github.com/citation-style-language/schema/raw/master/csl-citation.json"}</w:instrText>
      </w:r>
      <w:r w:rsidR="002870B3">
        <w:rPr>
          <w:lang w:val="en-US"/>
        </w:rPr>
        <w:fldChar w:fldCharType="separate"/>
      </w:r>
      <w:r w:rsidR="00E77D77" w:rsidRPr="00E77D77">
        <w:rPr>
          <w:noProof/>
          <w:lang w:val="en-US"/>
        </w:rPr>
        <w:t>(9)</w:t>
      </w:r>
      <w:r w:rsidR="002870B3">
        <w:rPr>
          <w:lang w:val="en-US"/>
        </w:rPr>
        <w:fldChar w:fldCharType="end"/>
      </w:r>
      <w:r w:rsidR="002870B3">
        <w:rPr>
          <w:lang w:val="en-US"/>
        </w:rPr>
        <w:t xml:space="preserve">. In combination with glutamate, the </w:t>
      </w:r>
      <w:r w:rsidR="001B2486">
        <w:rPr>
          <w:lang w:val="en-US"/>
        </w:rPr>
        <w:t>stabilizing effect</w:t>
      </w:r>
      <w:r w:rsidR="002870B3">
        <w:rPr>
          <w:lang w:val="en-US"/>
        </w:rPr>
        <w:t xml:space="preserve"> of arginine</w:t>
      </w:r>
      <w:r w:rsidR="001B2486">
        <w:rPr>
          <w:lang w:val="en-US"/>
        </w:rPr>
        <w:t xml:space="preserve"> could be further enhanced, probably through a more complex mechanism that involves the formation of arginine-glutamate clusters</w:t>
      </w:r>
      <w:r w:rsidR="005E5D34">
        <w:rPr>
          <w:lang w:val="en-US"/>
        </w:rPr>
        <w:fldChar w:fldCharType="begin" w:fldLock="1"/>
      </w:r>
      <w:r w:rsidR="00E77D77">
        <w:rPr>
          <w:lang w:val="en-US"/>
        </w:rPr>
        <w:instrText>ADDIN CSL_CITATION {"citationItems":[{"id":"ITEM-1","itemData":{"DOI":"10.1016/j.ijpharm.2014.06.053","abstract":"A B S T R A C T Finding excipients which mitigate protein self-association and aggregation is an important task during formulation. Here, the effect of an equimolar mixture of L-Arg and L-Glu (ArgÁGlu) on colloidal and conformational stability of four monoclonal antibodies (mAb1–mAb4) at different pH is explored, with the temperatures of the on-set of aggregation (T agg) and unfolding (T m1) measured by static light scattering and intrinsic fluorescence, respectively. ArgÁGlu increased the T agg of all four mAbs in concentration-dependent manner, especially as pH increased to neutral. ArgÁGlu also increased T m1 of the least thermally stable mAb3, but without similar direct effect on the T m1 of other mAbs. Raising pH itself from 5 to 7 increased T m1 for all four mAbs. Selected mAb formulations were assessed under accelerated stability conditions for the monomer fraction remaining in solution after storage. The aggregation of mAb3 was suppressed to a greater extent by ArgÁGlu than by ArgÁHCl. Furthermore, ArgÁGlu suppressed the aggregation of mAb1 at neutral pH such that the fraction monomer was near to that at the more typical formulation pH of 5.5. We conclude that ArgÁGlu can suppress mAb aggregation with increasing temperature/pH and, importantly, under accelerated stability conditions at weakly acidic to neutral pH.","author":[{"dropping-particle":"","family":"Kheddo","given":"Priscilla","non-dropping-particle":"","parse-names":false,"suffix":""},{"dropping-particle":"","family":"Tracka","given":"Malgorzata","non-dropping-particle":"","parse-names":false,"suffix":""},{"dropping-particle":"","family":"Armer","given":"Jonathan","non-dropping-particle":"","parse-names":false,"suffix":""},{"dropping-particle":"","family":"Dearman","given":"Rebecca J","non-dropping-particle":"","parse-names":false,"suffix":""},{"dropping-particle":"","family":"Uddin","given":"Shahid","non-dropping-particle":"","parse-names":false,"suffix":""},{"dropping-particle":"","family":"Walle","given":"Christopher F","non-dropping-particle":"Van Der","parse-names":false,"suffix":""},{"dropping-particle":"","family":"Golovanov","given":"Alexander P","non-dropping-particle":"","parse-names":false,"suffix":""}],"container-title":"International Journal of Pharmaceutics","id":"ITEM-1","issued":{"date-parts":[["2014"]]},"page":"126-133","title":"The effect of arginine glutamate on the stability of monoclonal antibodies in solution","type":"article-journal","volume":"473"},"uris":["http://www.mendeley.com/documents/?uuid=814d9a49-fd26-3063-a810-83bd30b964a3"]}],"mendeley":{"formattedCitation":"(10)","plainTextFormattedCitation":"(10)","previouslyFormattedCitation":"&lt;sup&gt;10&lt;/sup&gt;"},"properties":{"noteIndex":0},"schema":"https://github.com/citation-style-language/schema/raw/master/csl-citation.json"}</w:instrText>
      </w:r>
      <w:r w:rsidR="005E5D34">
        <w:rPr>
          <w:lang w:val="en-US"/>
        </w:rPr>
        <w:fldChar w:fldCharType="separate"/>
      </w:r>
      <w:r w:rsidR="00E77D77" w:rsidRPr="00E77D77">
        <w:rPr>
          <w:noProof/>
          <w:lang w:val="en-US"/>
        </w:rPr>
        <w:t>(10)</w:t>
      </w:r>
      <w:r w:rsidR="005E5D34">
        <w:rPr>
          <w:lang w:val="en-US"/>
        </w:rPr>
        <w:fldChar w:fldCharType="end"/>
      </w:r>
      <w:r w:rsidR="001B2486">
        <w:rPr>
          <w:lang w:val="en-US"/>
        </w:rPr>
        <w:t>.</w:t>
      </w:r>
      <w:r>
        <w:rPr>
          <w:lang w:val="en-US"/>
        </w:rPr>
        <w:t xml:space="preserve"> </w:t>
      </w:r>
      <w:r w:rsidR="000C4240">
        <w:rPr>
          <w:lang w:val="en-US"/>
        </w:rPr>
        <w:t>The small molecule drug d</w:t>
      </w:r>
      <w:r w:rsidR="00B3187C">
        <w:rPr>
          <w:lang w:val="en-US"/>
        </w:rPr>
        <w:t>examethasone phosphate</w:t>
      </w:r>
      <w:r w:rsidR="000C4240">
        <w:rPr>
          <w:lang w:val="en-US"/>
        </w:rPr>
        <w:t xml:space="preserve"> (DMP)</w:t>
      </w:r>
      <w:r w:rsidR="00B3187C">
        <w:rPr>
          <w:lang w:val="en-US"/>
        </w:rPr>
        <w:t xml:space="preserve"> </w:t>
      </w:r>
      <w:r w:rsidR="000C4240">
        <w:rPr>
          <w:lang w:val="en-US"/>
        </w:rPr>
        <w:t>was discovered to reduce</w:t>
      </w:r>
      <w:r w:rsidR="00B3187C">
        <w:rPr>
          <w:lang w:val="en-US"/>
        </w:rPr>
        <w:t xml:space="preserve"> the formation of</w:t>
      </w:r>
      <w:r w:rsidR="00091551">
        <w:rPr>
          <w:lang w:val="en-US"/>
        </w:rPr>
        <w:t xml:space="preserve"> bevacizumab</w:t>
      </w:r>
      <w:r w:rsidR="00B3187C">
        <w:rPr>
          <w:lang w:val="en-US"/>
        </w:rPr>
        <w:t xml:space="preserve"> aggregates</w:t>
      </w:r>
      <w:r w:rsidR="000C4240">
        <w:rPr>
          <w:lang w:val="en-US"/>
        </w:rPr>
        <w:t xml:space="preserve"> when administered in a co-formulation</w:t>
      </w:r>
      <w:r w:rsidR="00B3187C">
        <w:rPr>
          <w:lang w:val="en-US"/>
        </w:rPr>
        <w:t xml:space="preserve">. </w:t>
      </w:r>
      <w:r w:rsidR="000C4240">
        <w:rPr>
          <w:lang w:val="en-US"/>
        </w:rPr>
        <w:t>Docking</w:t>
      </w:r>
      <w:r w:rsidR="00B3187C">
        <w:rPr>
          <w:lang w:val="en-US"/>
        </w:rPr>
        <w:t xml:space="preserve"> studies</w:t>
      </w:r>
      <w:r w:rsidR="000C4240">
        <w:rPr>
          <w:lang w:val="en-US"/>
        </w:rPr>
        <w:t xml:space="preserve"> of DMP on a homology model</w:t>
      </w:r>
      <w:r w:rsidR="00B3187C">
        <w:rPr>
          <w:lang w:val="en-US"/>
        </w:rPr>
        <w:t xml:space="preserve"> </w:t>
      </w:r>
      <w:r w:rsidR="000C4240">
        <w:rPr>
          <w:lang w:val="en-US"/>
        </w:rPr>
        <w:t xml:space="preserve">of bevacizumab </w:t>
      </w:r>
      <w:r w:rsidR="00B3187C">
        <w:rPr>
          <w:lang w:val="en-US"/>
        </w:rPr>
        <w:t xml:space="preserve">suggest that binding to a </w:t>
      </w:r>
      <w:r w:rsidR="000C4240">
        <w:rPr>
          <w:lang w:val="en-US"/>
        </w:rPr>
        <w:t xml:space="preserve">lysine residue that may be involved in </w:t>
      </w:r>
      <w:r w:rsidR="00B3187C">
        <w:rPr>
          <w:lang w:val="en-US"/>
        </w:rPr>
        <w:t xml:space="preserve"> </w:t>
      </w:r>
      <w:r w:rsidR="000C4240">
        <w:rPr>
          <w:lang w:val="en-US"/>
        </w:rPr>
        <w:t xml:space="preserve">crystal contacts, </w:t>
      </w:r>
      <w:r w:rsidR="00B3187C">
        <w:rPr>
          <w:lang w:val="en-US"/>
        </w:rPr>
        <w:t>sterically hinders the formation of protein-protein interfaces and thus inhibits aggregation</w:t>
      </w:r>
      <w:r w:rsidR="00B3187C">
        <w:rPr>
          <w:lang w:val="en-US"/>
        </w:rPr>
        <w:fldChar w:fldCharType="begin" w:fldLock="1"/>
      </w:r>
      <w:r w:rsidR="00E77D77">
        <w:rPr>
          <w:lang w:val="en-US"/>
        </w:rPr>
        <w:instrText>ADDIN CSL_CITATION {"citationItems":[{"id":"ITEM-1","itemData":{"DOI":"10.1007/s11095-012-0955-6","ISBN":"1573-904X (Electronic)\\n0724-8741 (Linking)","ISSN":"07248741","PMID":"23412914","abstract":"PURPOSE: To investigate the mechanism behind the aggregation breaking properties of dexamethasone phosphate and related corticosteroids on the IgG1 antibody bevacizumab (Avastin®). METHODS: An in silico 3D dimer model is developed to identify the bevacizumab-bevacizumab interface, and different corticosteroids are docked onto the model to distinguish preferred binding sites. In silico predictions are validated by in vitro stability studies, where the antibody is stressed in presence or absence of each corticosteroid and formed aggregates are quantified by asymmetrical flow field-flow fractionation. RESULTS: The dimer model features one close crystal contact area: Lys445 on the Fc region interacts with one Fab arm of the second bevacizumab. Docking reveals an interaction between the phosphate group of dexamethasone phosphate and Lys445, while the rest of the molecule is hindering dimer formation. Predictions are confirmed in vitro, demonstrating that dexamethasone phosphate and betamethasone phosphate partly prevent antibody aggregation, whereas triamcinolone acetonide phosphate does not. CONCLUSIONS: Results suggest that bevacizumab monomers follow a specific mechanism to form dimers in which a protein-protein interaction hotspot can be distinguished. The dimer formation can be hindered by corticosteroids in a specific way. This approach allows a simple way to stabilize IgG1 antibodies.","author":[{"dropping-particle":"","family":"Veurink","given":"Marieke","non-dropping-particle":"","parse-names":false,"suffix":""},{"dropping-particle":"","family":"Westermaier","given":"Yvonne","non-dropping-particle":"","parse-names":false,"suffix":""},{"dropping-particle":"","family":"Gurny","given":"Robert","non-dropping-particle":"","parse-names":false,"suffix":""},{"dropping-particle":"","family":"Scapozza","given":"Leonardo","non-dropping-particle":"","parse-names":false,"suffix":""}],"container-title":"Pharmaceutical Research","id":"ITEM-1","issue":"4","issued":{"date-parts":[["2013"]]},"page":"1176-1187","title":"Breaking the aggregation of the monoclonal antibody bevacizumab (Avastin®) by dexamethasone phosphate: Insights from molecular modelling and asymmetrical flow field-flow fractionation","type":"article-journal","volume":"30"},"uris":["http://www.mendeley.com/documents/?uuid=d11a85eb-631d-477e-b5f2-b92aeeba6903"]},{"id":"ITEM-2","itemData":{"DOI":"10.1016/j.ejpb.2013.04.012","ISBN":"1873-3441 (Electronic)\\r0939-6411 (Linking)","ISSN":"09396411","PMID":"23665445","abstract":"Aggregation is a common challenge in the optimization of therapeutic antibody formulations. Since initial self-association of two monomers is typically a reversible process, the aim of this study is to identify different excipients that are able to shift this equilibrium to the monomeric state. The hypothesis is that a specific interaction between excipient and antibody may hinder two monomers from approaching each other, based on previous work in which dexamethasone phosphate showed the ability to partially reverse formed aggregates of the monoclonal IgG1 antibody bevacizumab back into monomers. The current study focuses on the selection of therapeutically inactive compounds with similar properties. Adenosine monophosphate, adenosine triphosphate, sucrose-6-phosphate and guanosine monophosphate were selected in silico through similarity searching and docking. All four compounds were predicted to bind to a protein-protein interaction hotspot on the Fc region of bevacizumab and thereby breaking dimer formation. The predictions were supported in vitro: An interaction between AMP and bevacizumab with a dissociation constant of 9.59 ± 0.15 mM was observed by microscale thermophoresis. The stability of the antibody at elevated temperature (40 C) in a 51 mM phosphate buffer pH 7 was investigated in presence and absence of the excipients. Quantification of the different aggregation species by asymmetrical flow field-flow fractionation and size exclusion chromatography demonstrates that all four excipients are able to partially overcome the initial self-association of bevacizumab monomers.","author":[{"dropping-particle":"","family":"Westermaier","given":"Y.","non-dropping-particle":"","parse-names":false,"suffix":""},{"dropping-particle":"","family":"Veurink","given":"M.","non-dropping-particle":"","parse-names":false,"suffix":""},{"dropping-particle":"","family":"Riis-Johannessen","given":"T.","non-dropping-particle":"","parse-names":false,"suffix":""},{"dropping-particle":"","family":"Guinchard","given":"S.","non-dropping-particle":"","parse-names":false,"suffix":""},{"dropping-particle":"","family":"Gurny","given":"R.","non-dropping-particle":"","parse-names":false,"suffix":""},{"dropping-particle":"","family":"Scapozza","given":"L.","non-dropping-particle":"","parse-names":false,"suffix":""}],"container-title":"European Journal of Pharmaceutics and Biopharmaceutics","id":"ITEM-2","issue":"3 PART A","issued":{"date-parts":[["2013"]]},"page":"773-780","publisher":"Elsevier B.V.","title":"Identification of aggregation breakers for bevacizumab (Avastin®) self-association through similarity searching and interaction studies","type":"article-journal","volume":"85"},"uris":["http://www.mendeley.com/documents/?uuid=d5c0e3d3-c009-4eae-8148-eeffa182a384"]},{"id":"ITEM-3","itemData":{"DOI":"10.1016/j.ejpb.2010.12.018","ISSN":"0939-6411","PMID":"21172437","abstract":"The in vitro stability of monoclonal antibodies used for age-related macular degeneration, ranibizumab and bevacizumab, was investigated. The aggregation profile of the antibodies was compared, alone and after association with dexamethasone sodium phosphate or triamcinolone acetonide. Commercial formulations of ranibizumab and bevacizumab were dialysed into three different buffers. After dialysis, samples were stored at 4°C, 25°C and 40°C during 35 days, alone and in combination with dexamethasone sodium phosphate, triamcinolone acetonide phosphate solution or triamcinolone acetonide suspension. Combined formulations based on both commercial formulations were investigated as well. The aggregation state of the antibodies was measured by multi-angle light scattering (MALS) after separation by asymmetrical flow field-flow fractionation (AFFF) or size-exclusion chromatography (SEC). Ranibizumab results to be more stable than bevacizumab, alone and in combination with dexamethasone sodium phosphate or triamcinolone acetonide. Elevation in concentration, pH and temperature causes a decrease in stability of both antibodies. The association of triamcinolone acetonide phosphate solution with either ranibizumab or bevacizumab is observed to be the least stable combination of all samples tested. Dexamethasone sodium phosphate was shown to have a stabilizing effect on bevacizumab, although this is not the case for its combination with the commercial formulation Avastin®. The results demonstrate that the in vitro association of either ranibizumab or bevacizumab with dexamethasone sodium phosphate or triamcinolone acetonide suspension does not decrease the stability of these antibodies. Although ranibizumab is more stable than bevacizumab in vitro, further research has to point out how this affects their mechanism of action in vivo. © 2010 Elsevier B.V. All rights reserved.","author":[{"dropping-particle":"","family":"Veurink","given":"Marieke","non-dropping-particle":"","parse-names":false,"suffix":""},{"dropping-particle":"","family":"Stella","given":"Cinzia","non-dropping-particle":"","parse-names":false,"suffix":""},{"dropping-particle":"","family":"Tabatabay","given":"Cyrus","non-dropping-particle":"","parse-names":false,"suffix":""},{"dropping-particle":"","family":"Pournaras","given":"Constantin J.","non-dropping-particle":"","parse-names":false,"suffix":""},{"dropping-particle":"","family":"Gurny","given":"Robert","non-dropping-particle":"","parse-names":false,"suffix":""}],"collection-title":"Unmet Needs in Protein Formulation Science","container-title":"European Journal of Pharmaceutics and Biopharmaceutics","id":"ITEM-3","issue":"2","issued":{"date-parts":[["2011","6"]]},"page":"271-277","publisher":"Elsevier B.V.","title":"Association of ranibizumab (Lucentis®) or bevacizumab (Avastin®) with dexamethasone and triamcinolone acetonide: An in vitro stability assessment","title-short":"Association of ranibizumab (Lucentis®) or bevacizu","type":"article-journal","volume":"78"},"uris":["http://www.mendeley.com/documents/?uuid=fae3857f-787c-4e6b-a56a-0d2877dc9b59"]}],"mendeley":{"formattedCitation":"(11–13)","plainTextFormattedCitation":"(11–13)","previouslyFormattedCitation":"&lt;sup&gt;11–13&lt;/sup&gt;"},"properties":{"noteIndex":0},"schema":"https://github.com/citation-style-language/schema/raw/master/csl-citation.json"}</w:instrText>
      </w:r>
      <w:r w:rsidR="00B3187C">
        <w:rPr>
          <w:lang w:val="en-US"/>
        </w:rPr>
        <w:fldChar w:fldCharType="separate"/>
      </w:r>
      <w:r w:rsidR="00E77D77" w:rsidRPr="00E77D77">
        <w:rPr>
          <w:noProof/>
          <w:lang w:val="en-US"/>
        </w:rPr>
        <w:t>(11–13)</w:t>
      </w:r>
      <w:r w:rsidR="00B3187C">
        <w:rPr>
          <w:lang w:val="en-US"/>
        </w:rPr>
        <w:fldChar w:fldCharType="end"/>
      </w:r>
      <w:r w:rsidR="00900154">
        <w:rPr>
          <w:lang w:val="en-US"/>
        </w:rPr>
        <w:t>.</w:t>
      </w:r>
      <w:r w:rsidR="00164CD2">
        <w:rPr>
          <w:lang w:val="en-US"/>
        </w:rPr>
        <w:t xml:space="preserve"> </w:t>
      </w:r>
      <w:r w:rsidR="002A5EA6">
        <w:rPr>
          <w:lang w:val="en-US"/>
        </w:rPr>
        <w:t>This opposes the finding in another study by</w:t>
      </w:r>
      <w:r w:rsidR="00B83072">
        <w:rPr>
          <w:lang w:val="en-US"/>
        </w:rPr>
        <w:t xml:space="preserve"> </w:t>
      </w:r>
      <w:r w:rsidR="002A5EA6">
        <w:rPr>
          <w:lang w:val="en-US"/>
        </w:rPr>
        <w:t>hydrogen-deuterium exchange spectroscopy that identifies a patch of residues in the CDR region to be involved in the formation of bevacizumab aggregates at elevated temperatures</w:t>
      </w:r>
      <w:r w:rsidR="00667705">
        <w:rPr>
          <w:lang w:val="en-US"/>
        </w:rPr>
        <w:fldChar w:fldCharType="begin" w:fldLock="1"/>
      </w:r>
      <w:r w:rsidR="00E77D77">
        <w:rPr>
          <w:lang w:val="en-US"/>
        </w:rPr>
        <w:instrText>ADDIN CSL_CITATION {"citationItems":[{"id":"ITEM-1","itemData":{"DOI":"10.1007/s11095-011-0538-y","ISBN":"1573-904X (Electronic)\\r0724-8741 (Linking)","ISSN":"07248741","PMID":"21805212","abstract":"PURPOSE: Aggregation of monoclonal antibodies (mAbs) is a common yet poorly understood issue in therapeutic development. There remains a need for high-resolution structural information about conformational changes and intermolecular contacts during antibody aggregation.\\n\\nMETHODS: We used hydrogen exchange mass spectrometry (HX-MS) to compare the aggregation mechanism and resultant aggregate structures of the pharmaceutical antibody Bevacizumab under freeze-thaw (F/T) and thermal stresses.\\n\\nRESULTS: Bevacizumab aggregation increased with number of F/T cycles and decreased with protein concentration. HX-MS showed native-like aggregates. Conversely, thermal stress triggered non-native aggregation at temperatures below melting point of the least stable CH2 domain. Under these conditions, HX was significantly enhanced in much of the Fab fragment while being decreased relative to native HX in CDRs. Analysis of intrinsic fluorescence Trp and extrinsic ANS dye binding supported structural differences between two antibody aggregates formed by F/T vs. thermal stresses.\\n\\nCONCLUSIONS: Reduced hydrogen exchange in three CDRs suggests these residues may form strong intermolecular contacts in the antibody aggregates; regions of enhanced HX indicate unfolding. Residue level modeling methods with varying levels of atomistic detail were unable to identify aggregation patterns predictively.","author":[{"dropping-particle":"","family":"Zhang","given":"Aming","non-dropping-particle":"","parse-names":false,"suffix":""},{"dropping-particle":"","family":"Singh","given":"Satish K.","non-dropping-particle":"","parse-names":false,"suffix":""},{"dropping-particle":"","family":"Shirts","given":"Michael R.","non-dropping-particle":"","parse-names":false,"suffix":""},{"dropping-particle":"","family":"Kumar","given":"Sandeep","non-dropping-particle":"","parse-names":false,"suffix":""},{"dropping-particle":"","family":"Fernandez","given":"Erik J.","non-dropping-particle":"","parse-names":false,"suffix":""}],"container-title":"Pharmaceutical Research","id":"ITEM-1","issue":"1","issued":{"date-parts":[["2012"]]},"page":"236-250","title":"Distinct aggregation mechanisms of monoclonal antibody under thermal and freeze-thaw stresses revealed by hydrogen exchange","type":"article-journal","volume":"29"},"uris":["http://www.mendeley.com/documents/?uuid=73e0e4d4-9ad4-41c3-b46e-f30966fcc7e8"]}],"mendeley":{"formattedCitation":"(14)","plainTextFormattedCitation":"(14)","previouslyFormattedCitation":"&lt;sup&gt;14&lt;/sup&gt;"},"properties":{"noteIndex":0},"schema":"https://github.com/citation-style-language/schema/raw/master/csl-citation.json"}</w:instrText>
      </w:r>
      <w:r w:rsidR="00667705">
        <w:rPr>
          <w:lang w:val="en-US"/>
        </w:rPr>
        <w:fldChar w:fldCharType="separate"/>
      </w:r>
      <w:r w:rsidR="00E77D77" w:rsidRPr="00E77D77">
        <w:rPr>
          <w:noProof/>
          <w:lang w:val="en-US"/>
        </w:rPr>
        <w:t>(14)</w:t>
      </w:r>
      <w:r w:rsidR="00667705">
        <w:rPr>
          <w:lang w:val="en-US"/>
        </w:rPr>
        <w:fldChar w:fldCharType="end"/>
      </w:r>
      <w:r w:rsidR="002A5EA6">
        <w:rPr>
          <w:lang w:val="en-US"/>
        </w:rPr>
        <w:t>.</w:t>
      </w:r>
    </w:p>
    <w:p w14:paraId="5D8AE30E" w14:textId="418A2A39" w:rsidR="00A24285" w:rsidRPr="00A24285" w:rsidRDefault="00A24285" w:rsidP="00A129E5">
      <w:pPr>
        <w:spacing w:line="480" w:lineRule="auto"/>
        <w:jc w:val="both"/>
        <w:rPr>
          <w:i/>
          <w:u w:val="single"/>
          <w:lang w:val="en-US"/>
        </w:rPr>
      </w:pPr>
      <w:r w:rsidRPr="00A24285">
        <w:rPr>
          <w:i/>
          <w:u w:val="single"/>
          <w:lang w:val="en-US"/>
        </w:rPr>
        <w:t>Virtual Screen</w:t>
      </w:r>
    </w:p>
    <w:p w14:paraId="2A2F7F5E" w14:textId="12E45B2F" w:rsidR="00E47327" w:rsidRDefault="00ED5580" w:rsidP="00A129E5">
      <w:pPr>
        <w:spacing w:line="480" w:lineRule="auto"/>
        <w:jc w:val="both"/>
        <w:rPr>
          <w:lang w:val="en-US"/>
        </w:rPr>
      </w:pPr>
      <w:r>
        <w:rPr>
          <w:lang w:val="en-US"/>
        </w:rPr>
        <w:t>Here, we present an approach</w:t>
      </w:r>
      <w:r w:rsidR="00862570">
        <w:rPr>
          <w:lang w:val="en-US"/>
        </w:rPr>
        <w:t xml:space="preserve"> that aims at identifying </w:t>
      </w:r>
      <w:r w:rsidR="00E47327">
        <w:rPr>
          <w:lang w:val="en-US"/>
        </w:rPr>
        <w:t>new compounds that bind to a</w:t>
      </w:r>
      <w:r w:rsidR="00E63052">
        <w:rPr>
          <w:lang w:val="en-US"/>
        </w:rPr>
        <w:t xml:space="preserve"> predicted</w:t>
      </w:r>
      <w:r w:rsidR="00E47327">
        <w:rPr>
          <w:lang w:val="en-US"/>
        </w:rPr>
        <w:t xml:space="preserve"> aggregation hotspot of IFN, thus inhibiting the formation of protein-protein interfaces</w:t>
      </w:r>
      <w:r w:rsidR="00862570">
        <w:rPr>
          <w:lang w:val="en-US"/>
        </w:rPr>
        <w:t xml:space="preserve"> and subsequently aggregation</w:t>
      </w:r>
      <w:r w:rsidR="00E47327">
        <w:rPr>
          <w:lang w:val="en-US"/>
        </w:rPr>
        <w:t xml:space="preserve">. </w:t>
      </w:r>
    </w:p>
    <w:p w14:paraId="7B35FA7C" w14:textId="1FFD60C8" w:rsidR="0083297A" w:rsidRDefault="00091551" w:rsidP="00A129E5">
      <w:pPr>
        <w:spacing w:line="480" w:lineRule="auto"/>
        <w:jc w:val="both"/>
        <w:rPr>
          <w:lang w:val="en-US"/>
        </w:rPr>
      </w:pPr>
      <w:r>
        <w:rPr>
          <w:lang w:val="en-US"/>
        </w:rPr>
        <w:t>Due to the large, flat interfaces</w:t>
      </w:r>
      <w:r w:rsidR="00A26FC3">
        <w:rPr>
          <w:lang w:val="en-US"/>
        </w:rPr>
        <w:t xml:space="preserve"> that form during</w:t>
      </w:r>
      <w:r>
        <w:rPr>
          <w:lang w:val="en-US"/>
        </w:rPr>
        <w:t xml:space="preserve"> </w:t>
      </w:r>
      <w:r w:rsidR="00711957">
        <w:rPr>
          <w:lang w:val="en-US"/>
        </w:rPr>
        <w:t>p</w:t>
      </w:r>
      <w:r>
        <w:rPr>
          <w:lang w:val="en-US"/>
        </w:rPr>
        <w:t>rotein-</w:t>
      </w:r>
      <w:r w:rsidR="00711957">
        <w:rPr>
          <w:lang w:val="en-US"/>
        </w:rPr>
        <w:t>p</w:t>
      </w:r>
      <w:r>
        <w:rPr>
          <w:lang w:val="en-US"/>
        </w:rPr>
        <w:t xml:space="preserve">rotein </w:t>
      </w:r>
      <w:r w:rsidR="00A26FC3">
        <w:rPr>
          <w:lang w:val="en-US"/>
        </w:rPr>
        <w:t>interactions, these</w:t>
      </w:r>
      <w:r>
        <w:rPr>
          <w:lang w:val="en-US"/>
        </w:rPr>
        <w:t xml:space="preserve"> have long </w:t>
      </w:r>
      <w:r w:rsidR="00A26FC3">
        <w:rPr>
          <w:lang w:val="en-US"/>
        </w:rPr>
        <w:t xml:space="preserve">been </w:t>
      </w:r>
      <w:r>
        <w:rPr>
          <w:lang w:val="en-US"/>
        </w:rPr>
        <w:t>considered difficult targets for small molecules. More recently however many successful examples</w:t>
      </w:r>
      <w:r w:rsidR="00A26FC3">
        <w:rPr>
          <w:lang w:val="en-US"/>
        </w:rPr>
        <w:t xml:space="preserve"> have been presented</w:t>
      </w:r>
      <w:r>
        <w:rPr>
          <w:lang w:val="en-US"/>
        </w:rPr>
        <w:fldChar w:fldCharType="begin" w:fldLock="1"/>
      </w:r>
      <w:r w:rsidR="00E77D77">
        <w:rPr>
          <w:lang w:val="en-US"/>
        </w:rPr>
        <w:instrText>ADDIN CSL_CITATION {"citationItems":[{"id":"ITEM-1","itemData":{"DOI":"10.1146/annurev-pharmtox-011613-140028","ISBN":"1545-4304 (Electronic)\\r0362-1642 (Linking)","ISSN":"0362-1642","PMID":"24160698","abstract":"Protein-protein interactions (PPIs) are critical regulatory events in physiology and pathology, and they represent an important target space for pharmacological intervention. However, targeting PPIs with small molecules is challenging owing to the large surface area involved in protein-protein binding and the lack of obvious small-molecule-binding pockets at many protein-protein interfaces. Nonetheless, successful examples of small-molecule modulators of PPIs have been growing in recent years. This article reviews some of the recent advances in the discovery of small-molecule regulators of PPIs that involve key oncogenic proteins. Our discussion focuses on the three key modes of action for these small-molecule modulators: orthosteric inhibition, allosteric regulation, and interfacial binding/stabilization. Understanding the opportunities and challenges of these diverse mechanisms will help guide future efforts in developing small-molecule modulators against PPIs.","author":[{"dropping-particle":"","family":"Jin","given":"Lingyan","non-dropping-particle":"","parse-names":false,"suffix":""},{"dropping-particle":"","family":"Wang","given":"Weiru","non-dropping-particle":"","parse-names":false,"suffix":""},{"dropping-particle":"","family":"Fang","given":"Guowei","non-dropping-particle":"","parse-names":false,"suffix":""}],"container-title":"Annual Review of Pharmacology and Toxicology","id":"ITEM-1","issue":"1","issued":{"date-parts":[["2014"]]},"page":"435-456","title":"Targeting Protein-Protein Interaction by Small Molecules","type":"article-journal","volume":"54"},"uris":["http://www.mendeley.com/documents/?uuid=e7650551-97dd-47ea-94c0-1e9a13401548"]}],"mendeley":{"formattedCitation":"(15)","plainTextFormattedCitation":"(15)","previouslyFormattedCitation":"&lt;sup&gt;15&lt;/sup&gt;"},"properties":{"noteIndex":0},"schema":"https://github.com/citation-style-language/schema/raw/master/csl-citation.json"}</w:instrText>
      </w:r>
      <w:r>
        <w:rPr>
          <w:lang w:val="en-US"/>
        </w:rPr>
        <w:fldChar w:fldCharType="separate"/>
      </w:r>
      <w:r w:rsidR="00E77D77" w:rsidRPr="00E77D77">
        <w:rPr>
          <w:noProof/>
          <w:lang w:val="en-US"/>
        </w:rPr>
        <w:t>(15)</w:t>
      </w:r>
      <w:r>
        <w:rPr>
          <w:lang w:val="en-US"/>
        </w:rPr>
        <w:fldChar w:fldCharType="end"/>
      </w:r>
      <w:r>
        <w:rPr>
          <w:lang w:val="en-US"/>
        </w:rPr>
        <w:t>.</w:t>
      </w:r>
      <w:r w:rsidR="00E47327">
        <w:rPr>
          <w:lang w:val="en-US"/>
        </w:rPr>
        <w:t xml:space="preserve"> </w:t>
      </w:r>
      <w:r w:rsidR="00760E50">
        <w:rPr>
          <w:lang w:val="en-US"/>
        </w:rPr>
        <w:t xml:space="preserve">In order to identify small molecules that bind to a defined protein site, </w:t>
      </w:r>
      <w:r w:rsidR="00AE4AC2">
        <w:rPr>
          <w:lang w:val="en-US"/>
        </w:rPr>
        <w:t>a common approach is</w:t>
      </w:r>
      <w:r w:rsidR="00760E50">
        <w:rPr>
          <w:lang w:val="en-US"/>
        </w:rPr>
        <w:t xml:space="preserve"> </w:t>
      </w:r>
      <w:r w:rsidR="007E44D7">
        <w:rPr>
          <w:lang w:val="en-US"/>
        </w:rPr>
        <w:t xml:space="preserve">running </w:t>
      </w:r>
      <w:r w:rsidR="00760E50">
        <w:rPr>
          <w:lang w:val="en-US"/>
        </w:rPr>
        <w:t>a virtual screen</w:t>
      </w:r>
      <w:r w:rsidR="00376C26">
        <w:rPr>
          <w:lang w:val="en-US"/>
        </w:rPr>
        <w:t>, wh</w:t>
      </w:r>
      <w:r w:rsidR="00816E4B">
        <w:rPr>
          <w:lang w:val="en-US"/>
        </w:rPr>
        <w:t>ere d</w:t>
      </w:r>
      <w:r w:rsidR="00760E50">
        <w:rPr>
          <w:lang w:val="en-US"/>
        </w:rPr>
        <w:t xml:space="preserve">atabases of millions of compounds are </w:t>
      </w:r>
      <w:r w:rsidR="005A5D16">
        <w:rPr>
          <w:lang w:val="en-US"/>
        </w:rPr>
        <w:t xml:space="preserve">tested </w:t>
      </w:r>
      <w:r w:rsidR="00DF1CDE">
        <w:rPr>
          <w:lang w:val="en-US"/>
        </w:rPr>
        <w:lastRenderedPageBreak/>
        <w:t>for affinity towards the specified</w:t>
      </w:r>
      <w:r w:rsidR="005A5D16">
        <w:rPr>
          <w:lang w:val="en-US"/>
        </w:rPr>
        <w:t xml:space="preserve"> binding</w:t>
      </w:r>
      <w:r w:rsidR="00DF1CDE">
        <w:rPr>
          <w:lang w:val="en-US"/>
        </w:rPr>
        <w:t xml:space="preserve"> site by docking algorithms</w:t>
      </w:r>
      <w:r w:rsidR="00DF1CDE">
        <w:rPr>
          <w:lang w:val="en-US"/>
        </w:rPr>
        <w:fldChar w:fldCharType="begin" w:fldLock="1"/>
      </w:r>
      <w:r w:rsidR="00E77D77">
        <w:rPr>
          <w:lang w:val="en-US"/>
        </w:rPr>
        <w:instrText>ADDIN CSL_CITATION {"citationItems":[{"id":"ITEM-1","itemData":{"DOI":"10.1038/nature03197","ISBN":"1476-4687 (Electronic)\\r0028-0836 (Linking)","ISSN":"0028-0836","PMID":"15602552","abstract":"Virtual screening uses computer-based methods to discover new ligands on the basis of biological structures. Although widely heralded in the 1970s and 1980s, the technique has since struggled to meet its initial promise, and drug discovery remains dominated by empirical screening. Recent successes in predicting new ligands and their receptor-bound structures, and better rates of ligand discovery compared to empirical screening, have re-ignited interest in virtual screening, which is now widely used in drug discovery, albeit on a more limited scale than empirical screening.","author":[{"dropping-particle":"","family":"Shoichet","given":"Brian K.","non-dropping-particle":"","parse-names":false,"suffix":""}],"container-title":"Nature","id":"ITEM-1","issue":"7019","issued":{"date-parts":[["2004"]]},"page":"862-865","title":"Virtual screening of chemical libraries","type":"article-journal","volume":"432"},"uris":["http://www.mendeley.com/documents/?uuid=22e32b85-fceb-4d12-b1c5-7ff602381093"]}],"mendeley":{"formattedCitation":"(16)","plainTextFormattedCitation":"(16)","previouslyFormattedCitation":"&lt;sup&gt;16&lt;/sup&gt;"},"properties":{"noteIndex":0},"schema":"https://github.com/citation-style-language/schema/raw/master/csl-citation.json"}</w:instrText>
      </w:r>
      <w:r w:rsidR="00DF1CDE">
        <w:rPr>
          <w:lang w:val="en-US"/>
        </w:rPr>
        <w:fldChar w:fldCharType="separate"/>
      </w:r>
      <w:r w:rsidR="00E77D77" w:rsidRPr="00E77D77">
        <w:rPr>
          <w:noProof/>
          <w:lang w:val="en-US"/>
        </w:rPr>
        <w:t>(16)</w:t>
      </w:r>
      <w:r w:rsidR="00DF1CDE">
        <w:rPr>
          <w:lang w:val="en-US"/>
        </w:rPr>
        <w:fldChar w:fldCharType="end"/>
      </w:r>
      <w:r w:rsidR="002E70A5">
        <w:rPr>
          <w:lang w:val="en-US"/>
        </w:rPr>
        <w:t>.</w:t>
      </w:r>
      <w:r w:rsidR="0078509D">
        <w:rPr>
          <w:lang w:val="en-US"/>
        </w:rPr>
        <w:t xml:space="preserve"> The database selection is the first step critical to the success of a docking campaign. Not only the database’s size is relevant but also its compound diversity and the compounds’ availability. The ZINC15 database is one of the largest publicly accessible databases, including more than 700.000.000 compounds</w:t>
      </w:r>
      <w:r w:rsidR="00DF6DC1">
        <w:rPr>
          <w:lang w:val="en-US"/>
        </w:rPr>
        <w:t xml:space="preserve">, that can be filtered according to their </w:t>
      </w:r>
      <w:r w:rsidR="003F11C6">
        <w:rPr>
          <w:lang w:val="en-US"/>
        </w:rPr>
        <w:t xml:space="preserve">commercial </w:t>
      </w:r>
      <w:r w:rsidR="00DF6DC1">
        <w:rPr>
          <w:lang w:val="en-US"/>
        </w:rPr>
        <w:t>availability, reactivity or hydrophobicity</w:t>
      </w:r>
      <w:r w:rsidR="0078509D">
        <w:rPr>
          <w:lang w:val="en-US"/>
        </w:rPr>
        <w:fldChar w:fldCharType="begin" w:fldLock="1"/>
      </w:r>
      <w:r w:rsidR="00E77D77">
        <w:rPr>
          <w:lang w:val="en-US"/>
        </w:rPr>
        <w:instrText>ADDIN CSL_CITATION {"citationItems":[{"id":"ITEM-1","itemData":{"DOI":"10.1021/acs.jcim.5b00559","ISSN":"1549-9596","abstract":", Many\nquestions about the biological activity and availability of\nsmall molecules remain inaccessible to investigators who could most\nbenefit from their answers. To narrow the gap between chemoinformatics\nand biology, we have developed a suite of ligand annotation, purchasability,\ntarget, and biology association tools, incorporated into ZINC and\nmeant for investigators who are not computer specialists. The new\nversion contains over 120 million purchasable “drug-like”\ncompounds – effectively all organic molecules that are for\nsale – a quarter of which are available for immediate delivery.\nZINC connects purchasable compounds to high-value ones such as metabolites,\ndrugs, natural products, and annotated compounds from the literature.\nCompounds may be accessed by the genes for which they are annotated\nas well as the major and minor target classes to which those genes\nbelong. It offers new analysis tools that are easy for nonspecialists\nyet with few limitations for experts. ZINC retains its original 3D\nroots – all molecules are available in biologically relevant,\nready-to-dock formats. ZINC is freely available at http://zinc15.docking.org.","author":[{"dropping-particle":"","family":"Sterling","given":"Teague","non-dropping-particle":"","parse-names":false,"suffix":""},{"dropping-particle":"","family":"Irwin","given":"John J.","non-dropping-particle":"","parse-names":false,"suffix":""}],"container-title":"Journal of Chemical Information and Modeling","id":"ITEM-1","issue":"11","issued":{"date-parts":[["2015","11"]]},"page":"2324-2337","title":"ZINC 15 – Ligand Discovery for Everyone","type":"article-journal","volume":"55"},"uris":["http://www.mendeley.com/documents/?uuid=5ae34859-7b4d-4872-949f-b8f26cf77a06"]}],"mendeley":{"formattedCitation":"(17)","plainTextFormattedCitation":"(17)","previouslyFormattedCitation":"&lt;sup&gt;17&lt;/sup&gt;"},"properties":{"noteIndex":0},"schema":"https://github.com/citation-style-language/schema/raw/master/csl-citation.json"}</w:instrText>
      </w:r>
      <w:r w:rsidR="0078509D">
        <w:rPr>
          <w:lang w:val="en-US"/>
        </w:rPr>
        <w:fldChar w:fldCharType="separate"/>
      </w:r>
      <w:r w:rsidR="00E77D77" w:rsidRPr="00E77D77">
        <w:rPr>
          <w:noProof/>
          <w:lang w:val="en-US"/>
        </w:rPr>
        <w:t>(17)</w:t>
      </w:r>
      <w:r w:rsidR="0078509D">
        <w:rPr>
          <w:lang w:val="en-US"/>
        </w:rPr>
        <w:fldChar w:fldCharType="end"/>
      </w:r>
      <w:r w:rsidR="00DF6DC1">
        <w:rPr>
          <w:lang w:val="en-US"/>
        </w:rPr>
        <w:t xml:space="preserve">. </w:t>
      </w:r>
      <w:r w:rsidR="0078509D">
        <w:rPr>
          <w:lang w:val="en-US"/>
        </w:rPr>
        <w:t xml:space="preserve"> </w:t>
      </w:r>
      <w:r w:rsidR="000A4B2F">
        <w:rPr>
          <w:lang w:val="en-US"/>
        </w:rPr>
        <w:t>Glide, Gold or Autodock Vina are some programs to perform high throughput pose prediction and scoring</w:t>
      </w:r>
      <w:r w:rsidR="000A4B2F">
        <w:rPr>
          <w:lang w:val="en-US"/>
        </w:rPr>
        <w:fldChar w:fldCharType="begin" w:fldLock="1"/>
      </w:r>
      <w:r w:rsidR="00E77D77">
        <w:rPr>
          <w:lang w:val="en-US"/>
        </w:rPr>
        <w:instrText xml:space="preserve">ADDIN CSL_CITATION {"citationItems":[{"id":"ITEM-1","itemData":{"DOI":"10.1007/s10822-012-9575-9","ISBN":"1573-4951 (Electronic)\\r0920-654X (Linking)","ISSN":"0920654X","PMID":"22576241","abstract":"Glide SP mode enrichment results for two preparations of the DUD dataset and native ligand docking RMSDs for two preparations of the Astex dataset are presented. Following a best-practices preparation scheme, an average RMSD of 1.140 </w:instrText>
      </w:r>
      <w:r w:rsidR="00E77D77">
        <w:rPr>
          <w:rFonts w:ascii="Cambria Math" w:hAnsi="Cambria Math" w:cs="Cambria Math"/>
          <w:lang w:val="en-US"/>
        </w:rPr>
        <w:instrText>Å</w:instrText>
      </w:r>
      <w:r w:rsidR="00E77D77">
        <w:rPr>
          <w:lang w:val="en-US"/>
        </w:rPr>
        <w:instrText xml:space="preserve"> for native ligand docking with Glide SP is computed. Following the same best-practices preparation scheme for the DUD dataset an average area under the ROC curve (AUC) of 0.80 and average early enrichment via the ROC (0.1 %) metric of 0.12 were observed. 74 and 56 % of the 39 best-practices prepared targets showed AUC over 0.7 and 0.8, respectively. Average AUC was greater than 0.7 for all best-practices protein families demonstrating consistent enrichment performance across a broad range of proteins and ligand chemotypes. In both Astex and DUD datasets, docking performance is significantly improved employing a best-practices preparation scheme over using minimally-prepared structures from the PDB. Enrichment results for WScore, a new scoring function and sampling methodology integrating WaterMap and Glide, are presented for four DUD targets, hivrt, hsp90, cdk2, and fxa. WScore performance in early enrichment is consistently strong and all systems examined show AUC &gt; 0.9 and superior early enrichment to DUD best-practices Glide SP results.","author":[{"dropping-particle":"","family":"Repasky","given":"Matthew P.","non-dropping-particle":"","parse-names":false,"suffix":""},{"dropping-particle":"","family":"Murphy","given":"Robert B.","non-dropping-particle":"","parse-names":false,"suffix":""},{"dropping-particle":"","family":"Banks","given":"Jay L.","non-dropping-particle":"","parse-names":false,"suffix":""},{"dropping-particle":"","family":"Greenwood","given":"Jeremy R.","non-dropping-particle":"","parse-names":false,"suffix":""},{"dropping-particle":"","family":"Tubert-Brohman","given":"Ivan","non-dropping-particle":"","parse-names":false,"suffix":""},{"dropping-particle":"","family":"Bhat","given":"Sathesh","non-dropping-particle":"","parse-names":false,"suffix":""},{"dropping-particle":"","family":"Friesner","given":"Richard A.","non-dropping-particle":"","parse-names":false,"suffix":""}],"container-title":"Journal of Computer-Aided Molecular Design","id":"ITEM-1","issue":"6","issued":{"date-parts":[["2012"]]},"page":"787-799","title":"Docking performance of the glide program as evaluated on the Astex and DUD datasets: A complete set of glide SP results and selected results for a new scoring function integrating WaterMap and glide","type":"article-journal","volume":"26"},"uris":["http://www.mendeley.com/documents/?uuid=25ff0ca9-ef9a-42fb-936b-30692a9f9b66"]},{"id":"ITEM-2","itemData":{"DOI":"10.1002/jcc.21334.AutoDock","ISBN":"0333-7308 (Print)\r0333-7308","ISSN":"1096-987X","PMID":"19499576","abstract":"AutoDock Vina, a new program for molecular docking and virtual screening, is presented. AutoDock Vina achieves an approximately two orders of magnitude speed-up compared to the molecular docking software previously developed in our lab (AutoDock 4), while also significantly improving the accuracy of the binding mode predictions, judging by our tests on the training set used in AutoDock 4 development. Further speed-up is achieved from parallelism, by using multithreading on multi-core machines. AutoDock Vina automatically calculates the grid maps and clusters the results in a way transparent to the user. Introduction","author":[{"dropping-particle":"","family":"Trott","given":"Oleg","non-dropping-particle":"","parse-names":false,"suffix":""},{"dropping-particle":"","family":"Olson","given":"Aj","non-dropping-particle":"","parse-names":false,"suffix":""}],"container-title":"Journal of Computational Chemistry","id":"ITEM-2","issue":"2","issued":{"date-parts":[["2010"]]},"page":"455-461","title":"Autodock vina: improving the speed and accuracy of docking","type":"article-journal","volume":"31"},"uris":["http://www.mendeley.com/documents/?uuid=50120684-dd0a-45da-b8ee-80ad399aad41","http://www.mendeley.com/documents/?uuid=74c9df23-0adf-45c6-8545-9addf853ad31"]},{"id":"ITEM-3","itemData":{"DOI":"10.1006/JMBI.1996.0897","ISSN":"0022-2836","abstract":"Prediction of small molecule binding modes to macromolecules of known three-dimensional structure is a problem of paramount importance in rational drug design (the “docking” problem). We report the development and validation of the program GOLD (Genetic Optimisation for Ligand Docking). GOLD is an automated ligand docking program that uses a genetic algorithm to explore the full range of ligand conformational flexibility with partial flexibility of the protein, and satisfies the fundamental requirement that the ligand must displace loosely bound water on binding. Numerous enhancements and modifications have been applied to the original technique resulting in a substantial increase in the reliability and the applicability of the algorithm. The advanced algorithm has been tested on a dataset of 100 complexes extracted from the Brookhaven Protein DataBank. When used to dock the ligand back into the binding site, GOLD achieved a 71% success rate in identifying the experimental binding mode.","author":[{"dropping-particle":"","family":"Jones","given":"Gareth","non-dropping-particle":"","parse-names":false,"suffix":""},{"dropping-particle":"","family":"Willett","given":"Peter","non-dropping-particle":"","parse-names":false,"suffix":""},{"dropping-particle":"","family":"Glen","given":"Robert C","non-dropping-particle":"","parse-names":false,"suffix":""},{"dropping-particle":"","family":"Leach","given":"Andrew R","non-dropping-particle":"","parse-names":false,"suffix":""},{"dropping-particle":"","family":"Taylor","given":"Robin","non-dropping-particle":"","parse-names":false,"suffix":""}],"container-title":"Journal of Molecular Biology","id":"ITEM-3","issue":"3","issued":{"date-parts":[["1997","4","4"]]},"page":"727-748","publisher":"Academic Press","title":"Development and validation of a genetic algorithm for flexible docking","type":"article-journal","volume":"267"},"uris":["http://www.mendeley.com/documents/?uuid=f33edb8b-a229-3d29-8365-615de233aa11"]}],"mendeley":{"formattedCitation":"(18–20)","plainTextFormattedCitation":"(18–20)","previouslyFormattedCitation":"&lt;sup&gt;18–20&lt;/sup&gt;"},"properties":{"noteIndex":0},"schema":"https://github.com/citation-style-language/schema/raw/master/csl-citation.json"}</w:instrText>
      </w:r>
      <w:r w:rsidR="000A4B2F">
        <w:rPr>
          <w:lang w:val="en-US"/>
        </w:rPr>
        <w:fldChar w:fldCharType="separate"/>
      </w:r>
      <w:r w:rsidR="00E77D77" w:rsidRPr="00E77D77">
        <w:rPr>
          <w:noProof/>
          <w:lang w:val="en-US"/>
        </w:rPr>
        <w:t>(18–20)</w:t>
      </w:r>
      <w:r w:rsidR="000A4B2F">
        <w:rPr>
          <w:lang w:val="en-US"/>
        </w:rPr>
        <w:fldChar w:fldCharType="end"/>
      </w:r>
      <w:r w:rsidR="000A4B2F">
        <w:rPr>
          <w:lang w:val="en-US"/>
        </w:rPr>
        <w:t xml:space="preserve">. </w:t>
      </w:r>
      <w:r w:rsidR="00DF6DC1">
        <w:rPr>
          <w:lang w:val="en-US"/>
        </w:rPr>
        <w:t xml:space="preserve"> While</w:t>
      </w:r>
      <w:r w:rsidR="000A4B2F">
        <w:rPr>
          <w:lang w:val="en-US"/>
        </w:rPr>
        <w:t xml:space="preserve"> </w:t>
      </w:r>
      <w:r w:rsidR="00DF6DC1">
        <w:rPr>
          <w:lang w:val="en-US"/>
        </w:rPr>
        <w:t xml:space="preserve">current docking algorithms account for ligand flexibility, the receptor is considered to be rigid, an assumption that can drastically reduce enrichment of active compounds in the highest scoring </w:t>
      </w:r>
      <w:r w:rsidR="00862570">
        <w:rPr>
          <w:lang w:val="en-US"/>
        </w:rPr>
        <w:t>hits</w:t>
      </w:r>
      <w:r w:rsidR="000831B0">
        <w:rPr>
          <w:lang w:val="en-US"/>
        </w:rPr>
        <w:fldChar w:fldCharType="begin" w:fldLock="1"/>
      </w:r>
      <w:r w:rsidR="00E77D77">
        <w:rPr>
          <w:lang w:val="en-US"/>
        </w:rPr>
        <w:instrText>ADDIN CSL_CITATION {"citationItems":[{"id":"ITEM-1","itemData":{"DOI":"10.1021/ci2005934","ISBN":"1549-960X (Electronic)\\n1549-9596 (Linking)","ISSN":"15499596","PMID":"22482774","abstract":"A major problem in structure-based virtual screening applications is the appropriate selection of a single or even multiple protein structures to be used in the virtual screening process. A priori it is unknown which protein structure(s) will perform best in a virtual screening experiment. We investigated the performance of ensemble docking, as a function of ensemble size, for eight targets of pharmaceutical interest. Starting from single protein structure docking results, for each ensemble size up to 500,000 combinations of protein structures were generated, and, for each ensemble, pose prediction and virtual screening results were derived. Comparison of single to multiple protein structure results suggests improvements when looking at the performance of the worst and the average over all single protein structures to the performance of the worst and average over all protein ensembles of size two or greater, respectively. We identified several key factors affecting ensemble docking performance, including the sampling accuracy of the docking algorithm, the choice of the scoring function, and the similarity of database ligands to the cocrystallized ligands of ligand-bound protein structures in an ensemble. Due to these factors, the prospective selection of optimum ensembles is a challenging task, shown by a reassessment of published ensemble selection protocols.","author":[{"dropping-particle":"","family":"Korb","given":"Oliver","non-dropping-particle":"","parse-names":false,"suffix":""},{"dropping-particle":"","family":"Olsson","given":"Tjelvar S.G.","non-dropping-particle":"","parse-names":false,"suffix":""},{"dropping-particle":"","family":"Bowden","given":"Simon J","non-dropping-particle":"","parse-names":false,"suffix":""},{"dropping-particle":"","family":"Hall","given":"Richard J","non-dropping-particle":"","parse-names":false,"suffix":""},{"dropping-particle":"","family":"Verdonk","given":"Marcel L","non-dropping-particle":"","parse-names":false,"suffix":""},{"dropping-particle":"","family":"Liebeschuetz","given":"John W","non-dropping-particle":"","parse-names":false,"suffix":""},{"dropping-particle":"","family":"Cole","given":"Jason C","non-dropping-particle":"","parse-names":false,"suffix":""}],"container-title":"Journal of Chemical Information and Modeling","id":"ITEM-1","issue":"5","issued":{"date-parts":[["2012"]]},"page":"1262-1274","title":"Potential and limitations of ensemble docking","type":"article-journal","volume":"52"},"uris":["http://www.mendeley.com/documents/?uuid=76d5ef92-8922-3c24-bfe3-d2dfca022e58"]}],"mendeley":{"formattedCitation":"(21)","plainTextFormattedCitation":"(21)","previouslyFormattedCitation":"&lt;sup&gt;21&lt;/sup&gt;"},"properties":{"noteIndex":0},"schema":"https://github.com/citation-style-language/schema/raw/master/csl-citation.json"}</w:instrText>
      </w:r>
      <w:r w:rsidR="000831B0">
        <w:rPr>
          <w:lang w:val="en-US"/>
        </w:rPr>
        <w:fldChar w:fldCharType="separate"/>
      </w:r>
      <w:r w:rsidR="00E77D77" w:rsidRPr="00E77D77">
        <w:rPr>
          <w:noProof/>
          <w:lang w:val="en-US"/>
        </w:rPr>
        <w:t>(21)</w:t>
      </w:r>
      <w:r w:rsidR="000831B0">
        <w:rPr>
          <w:lang w:val="en-US"/>
        </w:rPr>
        <w:fldChar w:fldCharType="end"/>
      </w:r>
      <w:r w:rsidR="00DF6DC1">
        <w:rPr>
          <w:lang w:val="en-US"/>
        </w:rPr>
        <w:t>.</w:t>
      </w:r>
      <w:r w:rsidR="000831B0">
        <w:rPr>
          <w:lang w:val="en-US"/>
        </w:rPr>
        <w:t xml:space="preserve"> Another limitation of docking comes from not accounting for water thermodynamics appropriately. </w:t>
      </w:r>
      <w:r w:rsidR="00862570">
        <w:rPr>
          <w:lang w:val="en-US"/>
        </w:rPr>
        <w:t xml:space="preserve">Further issues </w:t>
      </w:r>
      <w:r w:rsidR="00303CF9">
        <w:rPr>
          <w:lang w:val="en-US"/>
        </w:rPr>
        <w:t xml:space="preserve">when interpreting docking results </w:t>
      </w:r>
      <w:r w:rsidR="00862570">
        <w:rPr>
          <w:lang w:val="en-US"/>
        </w:rPr>
        <w:t xml:space="preserve">can arise from an incorrect calculation of protonation states of the binding site. </w:t>
      </w:r>
      <w:r w:rsidR="0083297A">
        <w:rPr>
          <w:lang w:val="en-US"/>
        </w:rPr>
        <w:t xml:space="preserve">Due </w:t>
      </w:r>
      <w:r w:rsidR="001D0903">
        <w:rPr>
          <w:lang w:val="en-US"/>
        </w:rPr>
        <w:t xml:space="preserve">to </w:t>
      </w:r>
      <w:r w:rsidR="00357405">
        <w:rPr>
          <w:lang w:val="en-US"/>
        </w:rPr>
        <w:t>docking’s</w:t>
      </w:r>
      <w:r w:rsidR="0083297A">
        <w:rPr>
          <w:lang w:val="en-US"/>
        </w:rPr>
        <w:t xml:space="preserve"> many </w:t>
      </w:r>
      <w:r w:rsidR="00357405">
        <w:rPr>
          <w:lang w:val="en-US"/>
        </w:rPr>
        <w:t xml:space="preserve">simplifications and </w:t>
      </w:r>
      <w:r w:rsidR="0083297A">
        <w:rPr>
          <w:lang w:val="en-US"/>
        </w:rPr>
        <w:t xml:space="preserve">limitations, </w:t>
      </w:r>
      <w:r w:rsidR="00357405">
        <w:rPr>
          <w:lang w:val="en-US"/>
        </w:rPr>
        <w:t>its</w:t>
      </w:r>
      <w:r w:rsidR="0083297A">
        <w:rPr>
          <w:lang w:val="en-US"/>
        </w:rPr>
        <w:t xml:space="preserve"> results should be considered as a starting point to suggest interesting compounds, rather than a method to elucidate detailed features of protein-ligand interaction</w:t>
      </w:r>
      <w:r w:rsidR="00354AE8">
        <w:rPr>
          <w:lang w:val="en-US"/>
        </w:rPr>
        <w:t>, such as binding kinetics and free energies</w:t>
      </w:r>
      <w:r w:rsidR="0083297A">
        <w:rPr>
          <w:lang w:val="en-US"/>
        </w:rPr>
        <w:t>.</w:t>
      </w:r>
    </w:p>
    <w:p w14:paraId="6C448EA2" w14:textId="10F978A7" w:rsidR="00A24285" w:rsidRPr="00A24285" w:rsidRDefault="00A24285" w:rsidP="00A129E5">
      <w:pPr>
        <w:spacing w:line="480" w:lineRule="auto"/>
        <w:jc w:val="both"/>
        <w:rPr>
          <w:i/>
          <w:u w:val="single"/>
          <w:lang w:val="en-US"/>
        </w:rPr>
      </w:pPr>
      <w:r>
        <w:rPr>
          <w:i/>
          <w:u w:val="single"/>
          <w:lang w:val="en-US"/>
        </w:rPr>
        <w:t>Free energy of binding</w:t>
      </w:r>
    </w:p>
    <w:p w14:paraId="3F1FFC59" w14:textId="085D2F27" w:rsidR="00F765C9" w:rsidRDefault="0002386C" w:rsidP="00A129E5">
      <w:pPr>
        <w:spacing w:line="480" w:lineRule="auto"/>
        <w:jc w:val="both"/>
        <w:rPr>
          <w:lang w:val="en-US"/>
        </w:rPr>
      </w:pPr>
      <w:r>
        <w:rPr>
          <w:lang w:val="en-US"/>
        </w:rPr>
        <w:t xml:space="preserve">A large variety of methods to </w:t>
      </w:r>
      <w:r w:rsidR="00764255">
        <w:rPr>
          <w:lang w:val="en-US"/>
        </w:rPr>
        <w:t xml:space="preserve">accurately </w:t>
      </w:r>
      <w:r>
        <w:rPr>
          <w:lang w:val="en-US"/>
        </w:rPr>
        <w:t>calculate</w:t>
      </w:r>
      <w:r w:rsidR="005A5D16">
        <w:rPr>
          <w:lang w:val="en-US"/>
        </w:rPr>
        <w:t xml:space="preserve"> </w:t>
      </w:r>
      <w:r>
        <w:rPr>
          <w:lang w:val="en-US"/>
        </w:rPr>
        <w:t>free energies of binding from atomistic molecular dynamics simulations exist.</w:t>
      </w:r>
      <w:r w:rsidR="005A5D16">
        <w:rPr>
          <w:lang w:val="en-US"/>
        </w:rPr>
        <w:t xml:space="preserve"> Unbiased simulations can give detailed information on the binding mechanism, kinetics and secondary binding sites</w:t>
      </w:r>
      <w:r w:rsidR="005A5D16">
        <w:rPr>
          <w:lang w:val="en-US"/>
        </w:rPr>
        <w:fldChar w:fldCharType="begin" w:fldLock="1"/>
      </w:r>
      <w:r w:rsidR="00E77D77">
        <w:rPr>
          <w:lang w:val="en-US"/>
        </w:rPr>
        <w:instrText>ADDIN CSL_CITATION {"citationItems":[{"id":"ITEM-1","itemData":{"DOI":"10.1073/pnas.1103547108","ISSN":"1091-6490","PMID":"21646537","abstract":"The understanding of protein-ligand binding is of critical importance for biomedical research, yet the process itself has been very difficult to study because of its intrinsically dynamic character. Here, we have been able to quantitatively reconstruct the complete binding process of the enzyme-inhibitor complex trypsin-benzamidine by performing 495 molecular dynamics simulations of free ligand binding of 100 ns each, 187 of which produced binding events with an rmsd less than 2 Å compared to the crystal structure. The binding paths obtained are able to capture the kinetic pathway of the inhibitor diffusing from solvent (S0) to the bound (S4) state passing through two metastable intermediate states S2 and S3. Rather than directly entering the binding pocket the inhibitor appears to roll on the surface of the protein in its transition between S3 and the final binding pocket, whereas the transition between S2 and the bound pose requires rediffusion to S3. An estimation of the standard free energy of binding gives ΔG° = -5.2 ± 0.4 kcal/mol (cf. the experimental value -6.2 kcal/mol), and a two-states kinetic model k(on) = (1.5 ± 0.2) × 10(8) M(-1) s(-1) and k(off) = (9.5 ± 3.3) × 10(4) s(-1) for unbound to bound transitions. The ability to reconstruct by simple diffusion the binding pathway of an enzyme-inhibitor binding process demonstrates the predictive power of unconventional high-throughput molecular simulations. Moreover, the methodology is directly applicable to other molecular systems and thus of general interest in biomedical and pharmaceutical research.","author":[{"dropping-particle":"","family":"Buch","given":"Ignasi","non-dropping-particle":"","parse-names":false,"suffix":""},{"dropping-particle":"","family":"Giorgino","given":"Toni","non-dropping-particle":"","parse-names":false,"suffix":""},{"dropping-particle":"","family":"Fabritiis","given":"Gianni","non-dropping-particle":"De","parse-names":false,"suffix":""}],"container-title":"Proceedings of the National Academy of Sciences of the United States of America","id":"ITEM-1","issue":"25","issued":{"date-parts":[["2011","6","21"]]},"page":"10184-9","publisher":"National Academy of Sciences","title":"Complete reconstruction of an enzyme-inhibitor binding process by molecular dynamics simulations.","type":"article-journal","volume":"108"},"uris":["http://www.mendeley.com/documents/?uuid=6342227b-ba3f-32e1-92e0-c119abdcca9c"]}],"mendeley":{"formattedCitation":"(22)","plainTextFormattedCitation":"(22)","previouslyFormattedCitation":"&lt;sup&gt;22&lt;/sup&gt;"},"properties":{"noteIndex":0},"schema":"https://github.com/citation-style-language/schema/raw/master/csl-citation.json"}</w:instrText>
      </w:r>
      <w:r w:rsidR="005A5D16">
        <w:rPr>
          <w:lang w:val="en-US"/>
        </w:rPr>
        <w:fldChar w:fldCharType="separate"/>
      </w:r>
      <w:r w:rsidR="00E77D77" w:rsidRPr="00E77D77">
        <w:rPr>
          <w:noProof/>
          <w:lang w:val="en-US"/>
        </w:rPr>
        <w:t>(22)</w:t>
      </w:r>
      <w:r w:rsidR="005A5D16">
        <w:rPr>
          <w:lang w:val="en-US"/>
        </w:rPr>
        <w:fldChar w:fldCharType="end"/>
      </w:r>
      <w:r w:rsidR="005A5D16">
        <w:rPr>
          <w:lang w:val="en-US"/>
        </w:rPr>
        <w:t>.</w:t>
      </w:r>
      <w:r w:rsidR="002A700A">
        <w:rPr>
          <w:lang w:val="en-US"/>
        </w:rPr>
        <w:t xml:space="preserve"> However, they demand large amounts of computational resources. Biased simulations reduce the computational cost by introducing potentials that facilitate the sampling of unfavorable regions in the system’s phase space.</w:t>
      </w:r>
      <w:r w:rsidR="00303CF9">
        <w:rPr>
          <w:lang w:val="en-US"/>
        </w:rPr>
        <w:t xml:space="preserve"> In the simplest case, a biasing potential can be a harmonic oscillator, restraining the distance between two atoms.</w:t>
      </w:r>
      <w:r w:rsidR="00441721">
        <w:rPr>
          <w:lang w:val="en-US"/>
        </w:rPr>
        <w:t xml:space="preserve"> </w:t>
      </w:r>
      <w:r w:rsidR="00303CF9">
        <w:rPr>
          <w:lang w:val="en-US"/>
        </w:rPr>
        <w:t>In practice, t</w:t>
      </w:r>
      <w:r w:rsidR="00441721">
        <w:rPr>
          <w:lang w:val="en-US"/>
        </w:rPr>
        <w:t xml:space="preserve">his </w:t>
      </w:r>
      <w:r w:rsidR="00303CF9">
        <w:rPr>
          <w:lang w:val="en-US"/>
        </w:rPr>
        <w:t>is</w:t>
      </w:r>
      <w:r w:rsidR="00441721">
        <w:rPr>
          <w:lang w:val="en-US"/>
        </w:rPr>
        <w:t xml:space="preserve"> </w:t>
      </w:r>
      <w:r w:rsidR="00303CF9">
        <w:rPr>
          <w:lang w:val="en-US"/>
        </w:rPr>
        <w:t>employed</w:t>
      </w:r>
      <w:r w:rsidR="00441721">
        <w:rPr>
          <w:lang w:val="en-US"/>
        </w:rPr>
        <w:t xml:space="preserve"> for example </w:t>
      </w:r>
      <w:r w:rsidR="00303CF9">
        <w:rPr>
          <w:lang w:val="en-US"/>
        </w:rPr>
        <w:t>in</w:t>
      </w:r>
      <w:r w:rsidR="00F765C9">
        <w:rPr>
          <w:lang w:val="en-US"/>
        </w:rPr>
        <w:t xml:space="preserve"> meta-dynamics or umbrella sampling</w:t>
      </w:r>
      <w:r w:rsidR="00F765C9">
        <w:rPr>
          <w:lang w:val="en-US"/>
        </w:rPr>
        <w:fldChar w:fldCharType="begin" w:fldLock="1"/>
      </w:r>
      <w:r w:rsidR="00E77D77">
        <w:rPr>
          <w:lang w:val="en-US"/>
        </w:rPr>
        <w:instrText>ADDIN CSL_CITATION {"citationItems":[{"id":"ITEM-1","itemData":{"DOI":"10.1002/wcms.31","ISSN":"17590876","author":[{"dropping-particle":"","family":"Barducci","given":"Alessandro","non-dropping-particle":"","parse-names":false,"suffix":""},{"dropping-particle":"","family":"Bonomi","given":"Massimiliano","non-dropping-particle":"","parse-names":false,"suffix":""},{"dropping-particle":"","family":"Parrinello","given":"Michele","non-dropping-particle":"","parse-names":false,"suffix":""}],"container-title":"Wiley Interdisciplinary Reviews: Computational Molecular Science","id":"ITEM-1","issue":"5","issued":{"date-parts":[["2011","9","1"]]},"page":"826-843","publisher":"John Wiley &amp; Sons, Inc.","title":"Metadynamics","type":"article-journal","volume":"1"},"uris":["http://www.mendeley.com/documents/?uuid=1939c0ce-227d-3aa2-8c01-efd1884fa886"]},{"id":"ITEM-2","itemData":{"DOI":"10.1073/pnas.0409005102","ISSN":"0027-8424","PMID":"15867154","abstract":"A general methodology for calculating the equilibrium binding constant of a flexible ligand to a protein receptor is formulated on the basis of potentials of mean force. The overall process is decomposed into several stages that can be computed separately: the free ligand in the bulk is first restrained into the conformation it adopts in the bound state, position, and orientation by applying biasing potentials, then it is translated into the binding site, where it is released completely. The conformational restraining potential is based on the root-mean-square deviation of the peptide coordinates relative to its average conformation in the bound complex. Free energy contributions from each stage are calculated by means of free energy perturbation potential of mean force techniques by using appropriate order parameters. The present approach avoids the need to decouple the ligand from its surrounding (bulk solvent and receptor protein) as is traditionally performed in the double-decoupling scheme. It is believed that the present formulation will be particularly useful when the solvation free energy of the ligand is very large. As an application, the equilibrium binding constant of the phosphotyrosine peptide pYEEI to the Src homology 2 domain of human Lck has been calculated. The results are in good agreement with experimental values.","author":[{"dropping-particle":"","family":"Woo","given":"Hyung-June","non-dropping-particle":"","parse-names":false,"suffix":""},{"dropping-particle":"","family":"Roux","given":"Benoît","non-dropping-particle":"","parse-names":false,"suffix":""}],"container-title":"Proceedings of the National Academy of Sciences of the United States of America","id":"ITEM-2","issue":"19","issued":{"date-parts":[["2005","5","10"]]},"page":"6825-30","publisher":"National Academy of Sciences","title":"Calculation of absolute protein-ligand binding free energy from computer simulations.","type":"article-journal","volume":"102"},"uris":["http://www.mendeley.com/documents/?uuid=063efec4-5adf-3173-9346-5df65289249d"]}],"mendeley":{"formattedCitation":"(23, 24)","plainTextFormattedCitation":"(23, 24)","previouslyFormattedCitation":"&lt;sup&gt;23,24&lt;/sup&gt;"},"properties":{"noteIndex":0},"schema":"https://github.com/citation-style-language/schema/raw/master/csl-citation.json"}</w:instrText>
      </w:r>
      <w:r w:rsidR="00F765C9">
        <w:rPr>
          <w:lang w:val="en-US"/>
        </w:rPr>
        <w:fldChar w:fldCharType="separate"/>
      </w:r>
      <w:r w:rsidR="00E77D77" w:rsidRPr="00E77D77">
        <w:rPr>
          <w:noProof/>
          <w:lang w:val="en-US"/>
        </w:rPr>
        <w:t>(23, 24)</w:t>
      </w:r>
      <w:r w:rsidR="00F765C9">
        <w:rPr>
          <w:lang w:val="en-US"/>
        </w:rPr>
        <w:fldChar w:fldCharType="end"/>
      </w:r>
      <w:r w:rsidR="00F765C9">
        <w:rPr>
          <w:lang w:val="en-US"/>
        </w:rPr>
        <w:t>.</w:t>
      </w:r>
      <w:r w:rsidR="00441721">
        <w:rPr>
          <w:lang w:val="en-US"/>
        </w:rPr>
        <w:t xml:space="preserve"> </w:t>
      </w:r>
      <w:r w:rsidR="002A700A">
        <w:rPr>
          <w:lang w:val="en-US"/>
        </w:rPr>
        <w:t xml:space="preserve"> </w:t>
      </w:r>
      <w:r w:rsidR="00F765C9">
        <w:rPr>
          <w:lang w:val="en-US"/>
        </w:rPr>
        <w:t>Introducing biasing potentials to a system has been observed to cause dissipation of energy in umbrella sampling simulations</w:t>
      </w:r>
      <w:r w:rsidR="00F765C9">
        <w:rPr>
          <w:lang w:val="en-US"/>
        </w:rPr>
        <w:fldChar w:fldCharType="begin" w:fldLock="1"/>
      </w:r>
      <w:r w:rsidR="00E77D77">
        <w:rPr>
          <w:lang w:val="en-US"/>
        </w:rPr>
        <w:instrText>ADDIN CSL_CITATION {"citationItems":[{"id":"ITEM-1","itemData":{"DOI":"10.1021/ct2006902","ISBN":"1549-9626 (Electronic)\\n1549-9618 (Linking)","ISSN":"15499618","PMID":"22754402","abstract":"The field of host-guest chemistry provides computationally tractable yet informative model systems for biomolecular recognition. We applied molecular dynamics simulations to study the forces and mechanical stresses associated with forced dissociation of aqueous cucurbituril-guest complexes with high binding affinities. First, the unbinding transitions were modeled with constant velocity pulling (steered dynamics) and a soft spring constant, to model atomic force microscopy (AFM) experiments. The computed length-force profiles yield rupture forces in good agreement with available measurements. We also used steered dynamics with high spring constants to generate paths characterized by a tight control over the specified pulling distance; these paths were then equilibrated via umbrella sampling simulations and used to compute time-averaged mechanical stresses along the dissociation pathways. The stress calculations proved to be informative regarding the key interactions determining the length-force profiles and rupture forces. In particular, the unbinding transition of one complex is found to be a stepwise process, which is initially dominated by electrostatic interactions between the guest's ammoniums and the host's carbonyl groups, and subsequently limited by the extraction of the guest's bulky bicyclooctane moiety; the latter step requires some bond stretching at the cucurbituril's extraction portal. Conversely, the dissociation of a second complex with a more slender guest is mainly driven by successive electrostatic interactions between the different guest's ammoniums and the host's carbonyl groups. The calculations also provide information on the origins of thermodynamic irreversibilities in these forced dissociation processes.","author":[{"dropping-particle":"","family":"Velez-Vega","given":"Camilo","non-dropping-particle":"","parse-names":false,"suffix":""},{"dropping-particle":"","family":"Gilson","given":"Michael K.","non-dropping-particle":"","parse-names":false,"suffix":""}],"container-title":"Journal of Chemical Theory and Computation","id":"ITEM-1","issue":"3","issued":{"date-parts":[["2012"]]},"page":"966-976","title":"Force and stress along simulated dissociation pathways of cucurbituril-guest systems","type":"article-journal","volume":"8"},"uris":["http://www.mendeley.com/documents/?uuid=e8a31dec-dc08-39ba-891b-34f792a54d0d"]}],"mendeley":{"formattedCitation":"(25)","plainTextFormattedCitation":"(25)","previouslyFormattedCitation":"&lt;sup&gt;25&lt;/sup&gt;"},"properties":{"noteIndex":0},"schema":"https://github.com/citation-style-language/schema/raw/master/csl-citation.json"}</w:instrText>
      </w:r>
      <w:r w:rsidR="00F765C9">
        <w:rPr>
          <w:lang w:val="en-US"/>
        </w:rPr>
        <w:fldChar w:fldCharType="separate"/>
      </w:r>
      <w:r w:rsidR="00E77D77" w:rsidRPr="00E77D77">
        <w:rPr>
          <w:noProof/>
          <w:lang w:val="en-US"/>
        </w:rPr>
        <w:t>(25)</w:t>
      </w:r>
      <w:r w:rsidR="00F765C9">
        <w:rPr>
          <w:lang w:val="en-US"/>
        </w:rPr>
        <w:fldChar w:fldCharType="end"/>
      </w:r>
      <w:r w:rsidR="00F765C9">
        <w:rPr>
          <w:lang w:val="en-US"/>
        </w:rPr>
        <w:t>. This effect has been overcome more recently by accounting for the energy required to attach and release these potentials</w:t>
      </w:r>
      <w:r w:rsidR="00F765C9">
        <w:rPr>
          <w:lang w:val="en-US"/>
        </w:rPr>
        <w:fldChar w:fldCharType="begin" w:fldLock="1"/>
      </w:r>
      <w:r w:rsidR="00E77D77">
        <w:rPr>
          <w:lang w:val="en-US"/>
        </w:rPr>
        <w:instrText>ADDIN CSL_CITATION {"citationItems":[{"id":"ITEM-1","itemData":{"DOI":"10.1002/jcc.23398","ISBN":"0192-8651","ISSN":"01928651","PMID":"24038118","abstract":"This article addresses calculations of the standard free energy of binding from molecular simulations in which a bound ligand is extracted from its binding site by steered molecular dynamics (MD) simulations or equilibrium umbrella sampling (US). Host-guest systems are used as test beds to examine the requirements for obtaining the reversible work of ligand extraction. We find that, for both steered MD and US, marked irreversibilities can occur when the guest molecule crosses an energy barrier and suddenly jumps to a new position, causing dissipation of energy stored in the stretched molecule(s). For flexible molecules, this occurs even when a stiff pulling spring is used, and it is difficult to suppress in calculations where the spring is attached to the molecules by single, fixed attachment points. We, therefore, introduce and test a method, fluctuation-guided pulling, which adaptively adjusts the spring's attachment points based on the guest's atomic fluctuations relative to the host. This adaptive approach is found to substantially improve the reversibility of both steered MD and US calculations for the present systems. The results are then used to estimate standard binding free energies within a comprehensive framework, termed attach-pull-release, which recognizes that the standard free energy of binding must include not only the pulling work itself, but also the work of attaching and then releasing the spring, where the release work includes an accounting of the standard concentration to which the ligand is discharged.","author":[{"dropping-particle":"","family":"Velez-Vega","given":"Camilo","non-dropping-particle":"","parse-names":false,"suffix":""},{"dropping-particle":"","family":"Gilson","given":"Michael K.","non-dropping-particle":"","parse-names":false,"suffix":""}],"container-title":"Journal of Computational Chemistry","id":"ITEM-1","issue":"27","issued":{"date-parts":[["2013"]]},"page":"2360-2371","title":"Overcoming dissipation in the calculation of standard binding free energies by ligand extraction","type":"article-journal","volume":"34"},"uris":["http://www.mendeley.com/documents/?uuid=c91bb3e7-7f41-3ffe-b00a-9d28c14a67ea"]}],"mendeley":{"formattedCitation":"(26)","plainTextFormattedCitation":"(26)","previouslyFormattedCitation":"&lt;sup&gt;26&lt;/sup&gt;"},"properties":{"noteIndex":0},"schema":"https://github.com/citation-style-language/schema/raw/master/csl-citation.json"}</w:instrText>
      </w:r>
      <w:r w:rsidR="00F765C9">
        <w:rPr>
          <w:lang w:val="en-US"/>
        </w:rPr>
        <w:fldChar w:fldCharType="separate"/>
      </w:r>
      <w:r w:rsidR="00E77D77" w:rsidRPr="00E77D77">
        <w:rPr>
          <w:noProof/>
          <w:lang w:val="en-US"/>
        </w:rPr>
        <w:t>(26)</w:t>
      </w:r>
      <w:r w:rsidR="00F765C9">
        <w:rPr>
          <w:lang w:val="en-US"/>
        </w:rPr>
        <w:fldChar w:fldCharType="end"/>
      </w:r>
      <w:r w:rsidR="00F765C9">
        <w:rPr>
          <w:lang w:val="en-US"/>
        </w:rPr>
        <w:t xml:space="preserve">. The resulting attach-pull-release umbrella sampling method </w:t>
      </w:r>
      <w:r w:rsidR="000A4B2F">
        <w:rPr>
          <w:lang w:val="en-US"/>
        </w:rPr>
        <w:t>has a solid theoretic</w:t>
      </w:r>
      <w:r w:rsidR="0078509D">
        <w:rPr>
          <w:lang w:val="en-US"/>
        </w:rPr>
        <w:t>al</w:t>
      </w:r>
      <w:r w:rsidR="000A4B2F">
        <w:rPr>
          <w:lang w:val="en-US"/>
        </w:rPr>
        <w:t xml:space="preserve"> foundation and has been </w:t>
      </w:r>
      <w:r w:rsidR="00357405">
        <w:rPr>
          <w:lang w:val="en-US"/>
        </w:rPr>
        <w:t>able</w:t>
      </w:r>
      <w:r w:rsidR="000A4B2F">
        <w:rPr>
          <w:lang w:val="en-US"/>
        </w:rPr>
        <w:t xml:space="preserve"> to accurately predict free energies of binding in guest-host systems</w:t>
      </w:r>
      <w:r w:rsidR="000A4B2F">
        <w:rPr>
          <w:lang w:val="en-US"/>
        </w:rPr>
        <w:fldChar w:fldCharType="begin" w:fldLock="1"/>
      </w:r>
      <w:r w:rsidR="00E77D77">
        <w:rPr>
          <w:lang w:val="en-US"/>
        </w:rPr>
        <w:instrText xml:space="preserve">ADDIN CSL_CITATION {"citationItems":[{"id":"ITEM-1","itemData":{"DOI":"10.1016/S0006-3495(97)78756-3","ISBN":"0006-3495","ISSN":"00063495","PMID":"9138555","abstract":"Although the statistical thermodynamics of noncovalent binding has been considered in a number of theoretical papers, few methods of computing binding affinities are derived explicitly from this underlying theory. This has contributed to uncertainty and controversy in certain areas. This article therefore reviews and extends the connections of some important computational methods with the underlying statistical thermodynamics. A derivation of the standard free energy of binding forms the basis of this review. This derivation should be useful in formulating novel computational methods for predicting binding affinities. It also permits several important points to be established. For example, it is found that the double-annihilation method of computing binding energy does not yield the standard free energy of binding, but can be modified to yield this quantity. The derivation also makes it possible to define clearly the changes in translational, rotational, configurational, and solvent entropy upon binding. It is argued that molecular mass has a negligible effect upon the standard free energy of binding for biomolecular systems, and that the cratic entropy defined by Gurney is not a useful concept. In addition, the use of continuum models of the solvent in binding calculations is reviewed, and a formalism is presented for incorporating a limited number of solvent molecules explicitly.","author":[{"dropping-particle":"","family":"Gilson","given":"Michael K.","non-dropping-particle":"","parse-names":false,"suffix":""},{"dropping-particle":"","family":"Given","given":"James A.","non-dropping-particle":"","parse-names":false,"suffix":""},{"dropping-particle":"","family":"Bush","given":"Bruce L.","non-dropping-particle":"","parse-names":false,"suffix":""},{"dropping-particle":"","family":"McCammon","given":"J. Andrew","non-dropping-particle":"","parse-names":false,"suffix":""}],"container-title":"Biophysical Journal","id":"ITEM-1","issued":{"date-parts":[["1997"]]},"page":"1047-1069","title":"The statistical-thermodynamic basis for computation of binding affinities: A critical review","type":"article-journal","volume":"72"},"uris":["http://www.mendeley.com/documents/?uuid=d56a645c-3d1b-4245-83cb-6e978972e223"]},{"id":"ITEM-2","itemData":{"DOI":"10.1021/acs.jctc.5b00405","ISBN":"1549-9618","ISSN":"15499626","PMID":"26523125","abstract":"We present a strategy for carrying out high-precision calculations of binding free energy and binding enthalpy values from molecular dynamics simulations with explicit solvent. The approach is used to calculate the thermodynamic profiles for binding of nine small molecule guests to either the cucurbit[7]uril (CB7) or β-cyclodextrin (βCD) host. For these systems, calculations using commodity hardware can yield binding free energy and binding enthalpy values with a precision of </w:instrText>
      </w:r>
      <w:r w:rsidR="00E77D77">
        <w:rPr>
          <w:rFonts w:ascii="Cambria Math" w:hAnsi="Cambria Math" w:cs="Cambria Math"/>
          <w:lang w:val="en-US"/>
        </w:rPr>
        <w:instrText>∼</w:instrText>
      </w:r>
      <w:r w:rsidR="00E77D77">
        <w:rPr>
          <w:lang w:val="en-US"/>
        </w:rPr>
        <w:instrText>0.5 kcal/mol (95% CI) in a matter of days. Crucially, the self- consistency of the approach is established by calculating the binding enthalpy directly, via end point potential energy calculations, and indirectly, via the temperature dependence of the binding free energy, i.e., by the van’tHoff equation. Excellent agreement between the direct and van’tHoff methods is demonstrated for both host−guest systems and an ion-pair model system for which particularly well- converged results are attainable. Additionally, we find that hydrogen mass repartitioning allows marked acceleration of the calculations with no discernible cost in precision or accuracy. Finally, we provide guidance for accurately assessing numerical uncertainty of the results in settings where complex correlations in the time series can pose challenges to statistical analysis. The routine nature and high precision of these binding calculations opens the possibility of including measured binding thermodynamics as target data in force field optimization so that simulations may be used to reliably interpret experimental data and guide molecular design.","author":[{"dropping-particle":"","family":"Henriksen","given":"Niel M.","non-dropping-particle":"","parse-names":false,"suffix":""},{"dropping-particle":"","family":"Fenley","given":"Andrew T.","non-dropping-particle":"","parse-names":false,"suffix":""},{"dropping-particle":"","family":"Gilson","given":"Michael K.","non-dropping-particle":"","parse-names":false,"suffix":""}],"container-title":"Journal of Chemical Theory and Computation","id":"ITEM-2","issue":"9","issued":{"date-parts":[["2015"]]},"page":"4377-4394","title":"Computational Calorimetry: High-Precision Calculation of Host-Guest Binding Thermodynamics","type":"article-journal","volume":"11"},"uris":["http://www.mendeley.com/documents/?uuid=d3135af1-708f-41d8-87aa-90393e345885"]}],"mendeley":{"formattedCitation":"(27, 28)","plainTextFormattedCitation":"(27, 28)","previouslyFormattedCitation":"&lt;sup&gt;27,28&lt;/sup&gt;"},"properties":{"noteIndex":0},"schema":"https://github.com/citation-style-language/schema/raw/master/csl-citation.json"}</w:instrText>
      </w:r>
      <w:r w:rsidR="000A4B2F">
        <w:rPr>
          <w:lang w:val="en-US"/>
        </w:rPr>
        <w:fldChar w:fldCharType="separate"/>
      </w:r>
      <w:r w:rsidR="00E77D77" w:rsidRPr="00E77D77">
        <w:rPr>
          <w:noProof/>
          <w:lang w:val="en-US"/>
        </w:rPr>
        <w:t>(27, 28)</w:t>
      </w:r>
      <w:r w:rsidR="000A4B2F">
        <w:rPr>
          <w:lang w:val="en-US"/>
        </w:rPr>
        <w:fldChar w:fldCharType="end"/>
      </w:r>
      <w:r w:rsidR="000A4B2F">
        <w:rPr>
          <w:lang w:val="en-US"/>
        </w:rPr>
        <w:t>.</w:t>
      </w:r>
    </w:p>
    <w:p w14:paraId="4920B01B" w14:textId="4B415F4D" w:rsidR="00965F8C" w:rsidRDefault="00B8228D" w:rsidP="00A129E5">
      <w:pPr>
        <w:spacing w:line="480" w:lineRule="auto"/>
        <w:jc w:val="both"/>
        <w:rPr>
          <w:lang w:val="en-US"/>
        </w:rPr>
      </w:pPr>
      <w:r>
        <w:rPr>
          <w:lang w:val="en-US"/>
        </w:rPr>
        <w:lastRenderedPageBreak/>
        <w:t>E</w:t>
      </w:r>
      <w:r w:rsidR="00965F8C">
        <w:rPr>
          <w:lang w:val="en-US"/>
        </w:rPr>
        <w:t>xperimentally</w:t>
      </w:r>
      <w:r>
        <w:rPr>
          <w:lang w:val="en-US"/>
        </w:rPr>
        <w:t>, binding energies can be determined</w:t>
      </w:r>
      <w:r w:rsidR="00965F8C">
        <w:rPr>
          <w:lang w:val="en-US"/>
        </w:rPr>
        <w:t xml:space="preserve"> from titration experiments using methods such as isothermal calorimetry, surface plasmon resonance, nuclear magnetic resonance or microscale thermophoresis.</w:t>
      </w:r>
    </w:p>
    <w:p w14:paraId="0610EA7B" w14:textId="4D966852" w:rsidR="00603FFF" w:rsidRDefault="00603FFF" w:rsidP="00A129E5">
      <w:pPr>
        <w:spacing w:line="480" w:lineRule="auto"/>
        <w:jc w:val="both"/>
        <w:rPr>
          <w:lang w:val="en-US"/>
        </w:rPr>
      </w:pPr>
      <w:r>
        <w:rPr>
          <w:lang w:val="en-US"/>
        </w:rPr>
        <w:t>Binding is just one aspect to filter for in a virtual screen. Other physic</w:t>
      </w:r>
      <w:r w:rsidR="00F02D7F">
        <w:rPr>
          <w:lang w:val="en-US"/>
        </w:rPr>
        <w:t>o</w:t>
      </w:r>
      <w:r>
        <w:rPr>
          <w:lang w:val="en-US"/>
        </w:rPr>
        <w:t xml:space="preserve">-chemical properties such as solubility, reactivity and toxicity are equally important to obtain successful candidate compounds. </w:t>
      </w:r>
    </w:p>
    <w:p w14:paraId="1E2D00D6" w14:textId="799327CE" w:rsidR="00A24285" w:rsidRPr="00A24285" w:rsidRDefault="00A24285" w:rsidP="00A129E5">
      <w:pPr>
        <w:spacing w:line="480" w:lineRule="auto"/>
        <w:jc w:val="both"/>
        <w:rPr>
          <w:i/>
          <w:u w:val="single"/>
          <w:lang w:val="en-US"/>
        </w:rPr>
      </w:pPr>
      <w:r w:rsidRPr="00A24285">
        <w:rPr>
          <w:i/>
          <w:u w:val="single"/>
          <w:lang w:val="en-US"/>
        </w:rPr>
        <w:t>Additional aspects of virtual screen</w:t>
      </w:r>
      <w:r w:rsidR="00065DCB">
        <w:rPr>
          <w:i/>
          <w:u w:val="single"/>
          <w:lang w:val="en-US"/>
        </w:rPr>
        <w:t>s</w:t>
      </w:r>
    </w:p>
    <w:p w14:paraId="52002F06" w14:textId="130BED13" w:rsidR="001B190F" w:rsidRDefault="00603FFF" w:rsidP="00A129E5">
      <w:pPr>
        <w:spacing w:line="480" w:lineRule="auto"/>
        <w:jc w:val="both"/>
        <w:rPr>
          <w:lang w:val="en-US"/>
        </w:rPr>
      </w:pPr>
      <w:r>
        <w:rPr>
          <w:lang w:val="en-US"/>
        </w:rPr>
        <w:t xml:space="preserve">A compounds solubility is typically indicated by its </w:t>
      </w:r>
      <w:bookmarkStart w:id="1" w:name="OLE_LINK2"/>
      <m:oMath>
        <m:sSub>
          <m:sSubPr>
            <m:ctrlPr>
              <w:rPr>
                <w:rFonts w:ascii="Cambria Math" w:hAnsi="Cambria Math"/>
                <w:i/>
                <w:lang w:val="en-US"/>
              </w:rPr>
            </m:ctrlPr>
          </m:sSubPr>
          <m:e>
            <m:r>
              <w:rPr>
                <w:rFonts w:ascii="Cambria Math" w:hAnsi="Cambria Math"/>
                <w:lang w:val="en-US"/>
              </w:rPr>
              <m:t>log</m:t>
            </m:r>
          </m:e>
          <m:sub>
            <m:r>
              <w:rPr>
                <w:rFonts w:ascii="Cambria Math" w:hAnsi="Cambria Math"/>
                <w:lang w:val="en-US"/>
              </w:rPr>
              <m:t>10</m:t>
            </m:r>
          </m:sub>
        </m:sSub>
        <w:bookmarkStart w:id="2" w:name="OLE_LINK1"/>
        <m:r>
          <w:rPr>
            <w:rFonts w:ascii="Cambria Math" w:hAnsi="Cambria Math"/>
            <w:lang w:val="en-US"/>
          </w:rPr>
          <m:t>S</m:t>
        </m:r>
      </m:oMath>
      <w:bookmarkEnd w:id="2"/>
      <w:r>
        <w:rPr>
          <w:lang w:val="en-US"/>
        </w:rPr>
        <w:t xml:space="preserve"> </w:t>
      </w:r>
      <w:bookmarkEnd w:id="1"/>
      <w:r>
        <w:rPr>
          <w:lang w:val="en-US"/>
        </w:rPr>
        <w:t xml:space="preserve">value, where </w:t>
      </w:r>
      <m:oMath>
        <m:r>
          <w:rPr>
            <w:rFonts w:ascii="Cambria Math" w:hAnsi="Cambria Math"/>
            <w:lang w:val="en-US"/>
          </w:rPr>
          <m:t>S</m:t>
        </m:r>
      </m:oMath>
      <w:r>
        <w:rPr>
          <w:lang w:val="en-US"/>
        </w:rPr>
        <w:t xml:space="preserve"> is the compounds concentration in the aqueous phase in equilibrium with the most stable form of the crystalline compound</w:t>
      </w:r>
      <w:r>
        <w:rPr>
          <w:lang w:val="en-US"/>
        </w:rPr>
        <w:fldChar w:fldCharType="begin" w:fldLock="1"/>
      </w:r>
      <w:r w:rsidR="00E77D77">
        <w:rPr>
          <w:lang w:val="en-US"/>
        </w:rPr>
        <w:instrText>ADDIN CSL_CITATION {"citationItems":[{"id":"ITEM-1","itemData":{"abstract":"The aqueous solubility of a drug is an important factor affecting its bioavailability. Numerous computational methods have been developed for the prediction of aqueous solubility from a compound's structure. A review is provided of the methodology and quality of results for the most useful procedures including the model implemented in the QikProp program. Viable methods now exist for predictions with less than 1 log unit uncertainty, which is adequate for prescreening synthetic candidates or design of combinatorial libraries. Further progress with predictive methods would require an experimental database of highly accurate solubilities for a large, diverse collection of drug-like molecules.","author":[{"dropping-particle":"","family":"Jorgensen","given":"William L","non-dropping-particle":"","parse-names":false,"suffix":""},{"dropping-particle":"","family":"Duffy","given":"Erin M","non-dropping-particle":"","parse-names":false,"suffix":""}],"container-title":"Advanced Drug Delivery Reviews","id":"ITEM-1","issued":{"date-parts":[["2002"]]},"page":"355-366","title":"Prediction of drug solubility from structure","type":"article-journal","volume":"54"},"uris":["http://www.mendeley.com/documents/?uuid=7413f01b-a06d-33d5-b2b7-dc3958e6e6c7"]}],"mendeley":{"formattedCitation":"(29)","plainTextFormattedCitation":"(29)","previouslyFormattedCitation":"&lt;sup&gt;29&lt;/sup&gt;"},"properties":{"noteIndex":0},"schema":"https://github.com/citation-style-language/schema/raw/master/csl-citation.json"}</w:instrText>
      </w:r>
      <w:r>
        <w:rPr>
          <w:lang w:val="en-US"/>
        </w:rPr>
        <w:fldChar w:fldCharType="separate"/>
      </w:r>
      <w:r w:rsidR="00E77D77" w:rsidRPr="00E77D77">
        <w:rPr>
          <w:noProof/>
          <w:lang w:val="en-US"/>
        </w:rPr>
        <w:t>(29)</w:t>
      </w:r>
      <w:r>
        <w:rPr>
          <w:lang w:val="en-US"/>
        </w:rPr>
        <w:fldChar w:fldCharType="end"/>
      </w:r>
      <w:r>
        <w:rPr>
          <w:lang w:val="en-US"/>
        </w:rPr>
        <w:t>.  They are most commonly predicted by quantitative structure-properties relationship (QSPR) methods, such as group contributions</w:t>
      </w:r>
      <w:r>
        <w:rPr>
          <w:lang w:val="en-US"/>
        </w:rPr>
        <w:fldChar w:fldCharType="begin" w:fldLock="1"/>
      </w:r>
      <w:r w:rsidR="00E77D77">
        <w:rPr>
          <w:lang w:val="en-US"/>
        </w:rPr>
        <w:instrText>ADDIN CSL_CITATION {"citationItems":[{"id":"ITEM-1","itemData":{"abstract":"A reliable and generally applicable aqueous solubility estimation method for organic compounds based on a group contribution approach has been developed. Two models have been established based on two different sets of parameters. One has a higher accuracy, while the other has a more general applicability. The prediction potentials of these two models have been evaluated through cross-validation experiments. For model I, the mean cross-validated r1 and SD for 10 such cross-validation experiments were 0.946 and 0.503 log units, respectively. While for model II, they were 0.953 and 0.546 log units, respectively. Applying our models to estimate the water solubility values for the compounds in an independent test set, we found that model I can be applied to 13 out of 21 compounds with a SD equal to 0.58 log unit and model II can be applied to all the 21 compounds with a SD equal to 1.25 log units. Our models compare favorably to all the current available water estimation methods. A program based on this approach has been written in FORTRAN77 and is currently running on a VAX/VMS system. The program can be applied to estimate the water solubility of any organic chemical with a good or fairly good accuracy except for electrolytes. Applying our aqueous solubility estimation models to biodegradation studies, we found that although the water solubility was not the sole factor controlling the rate of biodegradation, ring compounds with greater solubilities were more likely to biodegrade at a faster rate. The significance of the relationship between water solubility and biodegradation activity has been illustrated by predicting the biodegradation activity of 27 new chemicals based solely on their estimated solubility values.","author":[{"dropping-particle":"","family":"Klopman","given":"Gilles","non-dropping-particle":"","parse-names":false,"suffix":""},{"dropping-particle":"","family":"Wang","given":"Shaomeng","non-dropping-particle":"","parse-names":false,"suffix":""},{"dropping-particle":"","family":"Balthasar","given":"D. M.","non-dropping-particle":"","parse-names":false,"suffix":""}],"container-title":"J. Chem. Inf. Comput. Sci.","id":"ITEM-1","issued":{"date-parts":[["1992"]]},"page":"474-482","title":"Estimation of Aqueous Solubility of Organic Molecules by the Group Contribution Approach. Application to the Study of Biodegradation.","type":"article-journal","volume":"32"},"uris":["http://www.mendeley.com/documents/?uuid=4adb01ee-e96e-34a9-a1ff-a648a4c16c0e"]},{"id":"ITEM-2","itemData":{"DOI":"10.1016/0045-6535(95)00084-L","ISBN":"0045-6535","ISSN":"00456535","abstract":"Group contribution methods to estimate water solubility have been studied on the basis of a test set of 694 organic nonelectrolytes, consisting of 351 liquids and 343 solids with experimental data taken from literature after critical evaluation. Derivation of a new fragmentation scheme leads to a squared correlation coefficient of 0.95 and an average absolute calculation error of 0.38 log units, which is superior to other group contribution methods currently available. Differences in performance for individual classes of compounds are discussed in detail. Solubility prediction for liquids is generally better than for solids, and the results support the inclusion of a melting point term to account for the entropy of fusion of solids.","author":[{"dropping-particle":"","family":"Kühne","given":"R.","non-dropping-particle":"","parse-names":false,"suffix":""},{"dropping-particle":"","family":"Ebert","given":"R.-U.","non-dropping-particle":"","parse-names":false,"suffix":""},{"dropping-particle":"","family":"Kleint","given":"F.","non-dropping-particle":"","parse-names":false,"suffix":""},{"dropping-particle":"","family":"Schmidt","given":"G.","non-dropping-particle":"","parse-names":false,"suffix":""},{"dropping-particle":"","family":"Schüürmann","given":"G.","non-dropping-particle":"","parse-names":false,"suffix":""}],"container-title":"Chemosphere","id":"ITEM-2","issue":"11","issued":{"date-parts":[["1995"]]},"page":"2061-2077","title":"Group contribution methods to estimate water solubility of organic chemicals","type":"article-journal","volume":"30"},"uris":["http://www.mendeley.com/documents/?uuid=7b38f365-4ca9-3cb9-a6f0-a231b53bf4fd"]}],"mendeley":{"formattedCitation":"(30, 31)","plainTextFormattedCitation":"(30, 31)","previouslyFormattedCitation":"&lt;sup&gt;30,31&lt;/sup&gt;"},"properties":{"noteIndex":0},"schema":"https://github.com/citation-style-language/schema/raw/master/csl-citation.json"}</w:instrText>
      </w:r>
      <w:r>
        <w:rPr>
          <w:lang w:val="en-US"/>
        </w:rPr>
        <w:fldChar w:fldCharType="separate"/>
      </w:r>
      <w:r w:rsidR="00E77D77" w:rsidRPr="00E77D77">
        <w:rPr>
          <w:noProof/>
          <w:lang w:val="en-US"/>
        </w:rPr>
        <w:t>(30, 31)</w:t>
      </w:r>
      <w:r>
        <w:rPr>
          <w:lang w:val="en-US"/>
        </w:rPr>
        <w:fldChar w:fldCharType="end"/>
      </w:r>
      <w:r>
        <w:rPr>
          <w:lang w:val="en-US"/>
        </w:rPr>
        <w:t>, neural networks</w:t>
      </w:r>
      <w:r>
        <w:rPr>
          <w:lang w:val="en-US"/>
        </w:rPr>
        <w:fldChar w:fldCharType="begin" w:fldLock="1"/>
      </w:r>
      <w:r w:rsidR="00E77D77">
        <w:rPr>
          <w:lang w:val="en-US"/>
        </w:rPr>
        <w:instrText>ADDIN CSL_CITATION {"citationItems":[{"id":"ITEM-1","itemData":{"DOI":"10.1021/ci000392t","ISBN":"0095-2338 (Print)\\n0095-2338 (Linking)","ISSN":"00952338","PMID":"11749573","abstract":"The molecular weight and electrotopological E-state indices were used to estimate by Artificial Neural Networks aqueous solubility for a diverse set of 1291 organic compounds. The neural network with 33-4-1 neurons provided highly predictive results with r(2) = 0.91 and RMS = 0.62. The used parameters included several combinations of E-state indices with similar properties. The calculated results were similar to those published for these data by Huuskonen (2000). However, in the current study only E-state indices were used without need of additional indices (the molecular connectivity, shape, flexibility and indicator indices) also considered in the previous study. In addition, the present neural network contained three times less hidden neurons. Smaller neural networks and use of one homogeneous set of parameters provides a more robust model for prediction of aqueous solubility of chemical compounds. Limitations of the developed method for prediction of large compounds are discussed. The developed approach is available online at http://www.lnh.unil.ch/~itetko/logp.","author":[{"dropping-particle":"V","family":"Tetko","given":"Igor","non-dropping-particle":"","parse-names":false,"suffix":""},{"dropping-particle":"","family":"Tanchuk","given":"Vsevolod Yu","non-dropping-particle":"","parse-names":false,"suffix":""},{"dropping-particle":"","family":"Kasheva","given":"Tamara N","non-dropping-particle":"","parse-names":false,"suffix":""},{"dropping-particle":"","family":"Villa","given":"Alessandro E.P.","non-dropping-particle":"","parse-names":false,"suffix":""}],"container-title":"Journal of Chemical Information and Computer Sciences","id":"ITEM-1","issue":"6","issued":{"date-parts":[["2001"]]},"page":"1488-1493","title":"Estimation of Aqueous Solubility of Chemical Compounds Using E-State Indices","type":"article-journal","volume":"41"},"uris":["http://www.mendeley.com/documents/?uuid=200049bd-45b2-3b53-8c23-6b6f5090e723"]}],"mendeley":{"formattedCitation":"(32)","plainTextFormattedCitation":"(32)","previouslyFormattedCitation":"&lt;sup&gt;32&lt;/sup&gt;"},"properties":{"noteIndex":0},"schema":"https://github.com/citation-style-language/schema/raw/master/csl-citation.json"}</w:instrText>
      </w:r>
      <w:r>
        <w:rPr>
          <w:lang w:val="en-US"/>
        </w:rPr>
        <w:fldChar w:fldCharType="separate"/>
      </w:r>
      <w:r w:rsidR="00E77D77" w:rsidRPr="00E77D77">
        <w:rPr>
          <w:noProof/>
          <w:lang w:val="en-US"/>
        </w:rPr>
        <w:t>(32)</w:t>
      </w:r>
      <w:r>
        <w:rPr>
          <w:lang w:val="en-US"/>
        </w:rPr>
        <w:fldChar w:fldCharType="end"/>
      </w:r>
      <w:r>
        <w:rPr>
          <w:lang w:val="en-US"/>
        </w:rPr>
        <w:t xml:space="preserve"> or multiple linear regression analysis</w:t>
      </w:r>
      <w:r>
        <w:rPr>
          <w:lang w:val="en-US"/>
        </w:rPr>
        <w:fldChar w:fldCharType="begin" w:fldLock="1"/>
      </w:r>
      <w:r w:rsidR="00E77D77">
        <w:rPr>
          <w:lang w:val="en-US"/>
        </w:rPr>
        <w:instrText>ADDIN CSL_CITATION {"citationItems":[{"id":"ITEM-1","itemData":{"DOI":"10.1021/ja993663t","ISSN":"0002-7863","abstract":"Monte Carlo (MC) statistical mechanics simulations have been carried out for more than 200 organic solutes, including 125 drugs and related heterocycles, in aqueous solution. The calculations were highly automated and used the OPLS-AA force field augmented with CM1P partial charges. Configurationally averaged results were obtained for a variety of physically significant quantities including the solute-water Coulomb and Lennard-Jones interaction energies, solvent-accessible surface area (SASA), and numbers of donor and acceptor hydrogen bonds. Correlations were then obtained between these descriptors and gas to liquid free energies of solvation in hexadecane, octanol, and water and octanol/water partition coefficients. Linear regressions with three or four descriptors yielded fits with correlation coefficients, r 2 , of 0.9 in all cases. The regression equation for log P(octanol/water) only needs four descriptors to provide an rms error of 0.55 for 200 diverse compounds, which is competitive with the best fragment methods. For water, the expanded data set of 85 solutes and improved statistical analyses bring into question the significance of the Lennard-Jones and surface area terms that have been featured in prior linear-response treatments. The results are sensitive to the choice of partial charges for the solute atoms; poor representation of some functional groups can lead to the need for specific corrections in the regression equations. This is expected to also be true for force-field-based scoring functions for protein-ligand binding. In all cases, the present descriptors that emerge as most significant sensibly reveal the key physical factors that control solvation, especially solute size in organic solvents and electrostatic interactions in water. Furthermore, additional MC simulations for solutes in both water and ethanol clearly demonstrate that the key differential between water and alcohols is the greater hydrogen-bond-donating ability of water, which explains the significance of a solute's hydrogen-bond-accepting ability for log P(octanol/water).","author":[{"dropping-particle":"","family":"Duffy","given":"Erin M.","non-dropping-particle":"","parse-names":false,"suffix":""},{"dropping-particle":"","family":"Jorgensen","given":"William L.","non-dropping-particle":"","parse-names":false,"suffix":""}],"container-title":"Journal of the American Chemical Society","id":"ITEM-1","issue":"12","issued":{"date-parts":[["2000","3"]]},"page":"2878-2888","title":"Prediction of Properties from Simulations:  Free Energies of Solvation in Hexadecane, Octanol, and Water","type":"article-journal","volume":"122"},"uris":["http://www.mendeley.com/documents/?uuid=baba2b6e-0d64-4198-9e1d-389766dac921"]}],"mendeley":{"formattedCitation":"(33)","plainTextFormattedCitation":"(33)","previouslyFormattedCitation":"&lt;sup&gt;33&lt;/sup&gt;"},"properties":{"noteIndex":0},"schema":"https://github.com/citation-style-language/schema/raw/master/csl-citation.json"}</w:instrText>
      </w:r>
      <w:r>
        <w:rPr>
          <w:lang w:val="en-US"/>
        </w:rPr>
        <w:fldChar w:fldCharType="separate"/>
      </w:r>
      <w:r w:rsidR="00E77D77" w:rsidRPr="00E77D77">
        <w:rPr>
          <w:noProof/>
          <w:lang w:val="en-US"/>
        </w:rPr>
        <w:t>(33)</w:t>
      </w:r>
      <w:r>
        <w:rPr>
          <w:lang w:val="en-US"/>
        </w:rPr>
        <w:fldChar w:fldCharType="end"/>
      </w:r>
      <w:r>
        <w:rPr>
          <w:lang w:val="en-US"/>
        </w:rPr>
        <w:t>. A public challenge to predict the solubility of a set of 32 compounds from a training set of 100 molecules revealed the current state of prediction quality: the best performing predictions on a dataset including outliers gave R</w:t>
      </w:r>
      <w:r w:rsidRPr="00DB4A38">
        <w:rPr>
          <w:vertAlign w:val="superscript"/>
          <w:lang w:val="en-US"/>
        </w:rPr>
        <w:t>2</w:t>
      </w:r>
      <w:r>
        <w:rPr>
          <w:lang w:val="en-US"/>
        </w:rPr>
        <w:t xml:space="preserve"> values of approximately </w:t>
      </w:r>
      <w:r w:rsidR="00471DF1">
        <w:rPr>
          <w:lang w:val="en-US"/>
        </w:rPr>
        <w:t>0.6</w:t>
      </w:r>
      <w:r>
        <w:rPr>
          <w:lang w:val="en-US"/>
        </w:rPr>
        <w:t xml:space="preserve"> and approximately 20% of </w:t>
      </w:r>
      <m:oMath>
        <m:sSub>
          <m:sSubPr>
            <m:ctrlPr>
              <w:rPr>
                <w:rFonts w:ascii="Cambria Math" w:hAnsi="Cambria Math"/>
                <w:i/>
                <w:lang w:val="en-US"/>
              </w:rPr>
            </m:ctrlPr>
          </m:sSubPr>
          <m:e>
            <m:r>
              <w:rPr>
                <w:rFonts w:ascii="Cambria Math" w:hAnsi="Cambria Math"/>
                <w:lang w:val="en-US"/>
              </w:rPr>
              <m:t>log</m:t>
            </m:r>
          </m:e>
          <m:sub>
            <m:r>
              <w:rPr>
                <w:rFonts w:ascii="Cambria Math" w:hAnsi="Cambria Math"/>
                <w:lang w:val="en-US"/>
              </w:rPr>
              <m:t>10</m:t>
            </m:r>
          </m:sub>
        </m:sSub>
        <m:r>
          <w:rPr>
            <w:rFonts w:ascii="Cambria Math" w:hAnsi="Cambria Math"/>
            <w:lang w:val="en-US"/>
          </w:rPr>
          <m:t>S</m:t>
        </m:r>
      </m:oMath>
      <w:r>
        <w:rPr>
          <w:lang w:val="en-US"/>
        </w:rPr>
        <w:t xml:space="preserve"> values were calculated correctly</w:t>
      </w:r>
      <w:r>
        <w:rPr>
          <w:lang w:val="en-US"/>
        </w:rPr>
        <w:fldChar w:fldCharType="begin" w:fldLock="1"/>
      </w:r>
      <w:r w:rsidR="00E77D77">
        <w:rPr>
          <w:lang w:val="en-US"/>
        </w:rPr>
        <w:instrText>ADDIN CSL_CITATION {"citationItems":[{"id":"ITEM-1","itemData":{"DOI":"10.1021/ci900286s","ISBN":"1549-960X (Electronic) 1549-9596 (Linking)","ISSN":"15499596","PMID":"19877720","abstract":"The dissolution of a chemical into water is a process fundamental to both chemistry and biology. The persistence of a chemical within the environment and the effects of a chemical within the body are dependent primarily upon aqueous solubility. With the well-documented limitations hindering the accurate experimental determination of aqueous solubility, the utilization of predictive methods have been widely investigated and employed. The setting of a solubility challenge by this journal proved an excellent opportunity to explore several different modeling methods, utilizing a supplied dataset of high-quality aqueous solubility measurements. Four contrasting approaches (simple linear regression, artificial neural networks, category formation, and available in silico models) were utilized within our laboratory and the quality of these predictions was assessed. These were chosen to span the multitude of modeling methods now in use, while also allowing for the evaluation of existing commercial solubility models. The conclusions of this study were surprising, in that a simple linear regression approach proved to be superior over more complex modeling methods. Possible explanations for this observation are discussed and also recommendations are made for future solubility prediction.","author":[{"dropping-particle":"","family":"Hewitt","given":"M","non-dropping-particle":"","parse-names":false,"suffix":""},{"dropping-particle":"","family":"Cronin","given":"M. T.D.","non-dropping-particle":"","parse-names":false,"suffix":""},{"dropping-particle":"","family":"Enoch","given":"S J","non-dropping-particle":"","parse-names":false,"suffix":""},{"dropping-particle":"","family":"Madden","given":"J C","non-dropping-particle":"","parse-names":false,"suffix":""},{"dropping-particle":"","family":"Roberts","given":"D W","non-dropping-particle":"","parse-names":false,"suffix":""},{"dropping-particle":"","family":"Dearden","given":"J C","non-dropping-particle":"","parse-names":false,"suffix":""}],"container-title":"Journal of Chemical Information and Modeling","id":"ITEM-1","issue":"11","issued":{"date-parts":[["2009"]]},"page":"2572-2587","title":"In silico prediction of aqueous solubility: The solubility challenge","type":"article-journal","volume":"49"},"uris":["http://www.mendeley.com/documents/?uuid=225d0a83-123c-3128-b86f-9cd35a711b61"]},{"id":"ITEM-2","itemData":{"DOI":"10.1021/ci800058v","ISBN":"1549-9596","ISSN":"15499596","PMID":"18624401","abstract":"Solubility is a key physicochemical property of molecules. Serious deficiencies exist in the consistency and reliability of solubility data in the literature. The accurate prediction of solubility would be very useful. However, systematic errors and lack of metadata associated with measurements greatly reduce the confidence in current models. To address this, we are accurately measuring intrinsic solubility values, and here we report results for a diverse set of 100 druglike molecules at 25 °C and an ionic strength of 0.15 M using the CheqSol approach. This is a highly reproducible potentiometric technique that ensures the thermodynamic equilibrium is reached rapidly. Results with a coefficient of variation higher than 4% were rejected. In addition, the Potentiometric Cycling for Polymorph Creation method, [PC]2, was used to obtain multiple polymorph forms from aqueous solution. We now challenge researchers to predict the intrinsic solubility of 32 other druglike molecules that have been measured but are ...","author":[{"dropping-particle":"","family":"Llinàs","given":"Antonio","non-dropping-particle":"","parse-names":false,"suffix":""},{"dropping-particle":"","family":"Glen","given":"Robert C","non-dropping-particle":"","parse-names":false,"suffix":""},{"dropping-particle":"","family":"Goodman","given":"Jonathan M","non-dropping-particle":"","parse-names":false,"suffix":""}],"container-title":"Journal of Chemical Information and Modeling","id":"ITEM-2","issue":"7","issued":{"date-parts":[["2008"]]},"page":"1289-1303","title":"Solubility challenge: Can you predict solubilities of 32 molecules using a database of 100 reliable measurements?","type":"article-journal","volume":"48"},"uris":["http://www.mendeley.com/documents/?uuid=0a4d0bb2-7f94-3cef-bf25-1fa578f4530c"]},{"id":"ITEM-3","itemData":{"DOI":"10.1021/ci800436c","ISBN":"1549-9596","ISSN":"15426319","PMID":"19117422","author":[{"dropping-particle":"","family":"Hopfinger","given":"Anton J.","non-dropping-particle":"","parse-names":false,"suffix":""},{"dropping-particle":"","family":"Esposito","given":"Emilio Xavier","non-dropping-particle":"","parse-names":false,"suffix":""},{"dropping-particle":"","family":"Llinàs","given":"A.","non-dropping-particle":"","parse-names":false,"suffix":""},{"dropping-particle":"","family":"Glen","given":"R. C.","non-dropping-particle":"","parse-names":false,"suffix":""},{"dropping-particle":"","family":"Goodman","given":"and J. M.","non-dropping-particle":"","parse-names":false,"suffix":""}],"container-title":"J. Chem. Inf. Model.","id":"ITEM-3","issued":{"date-parts":[["2009"]]},"page":"1-5","title":"Findings of the Challenge To Predict Aqueous Solubility Anton","type":"article-journal","volume":"49"},"uris":["http://www.mendeley.com/documents/?uuid=4e3e96f8-ea12-3995-aada-8844c9a7f0c8"]}],"mendeley":{"formattedCitation":"(34–36)","plainTextFormattedCitation":"(34–36)","previouslyFormattedCitation":"&lt;sup&gt;34–36&lt;/sup&gt;"},"properties":{"noteIndex":0},"schema":"https://github.com/citation-style-language/schema/raw/master/csl-citation.json"}</w:instrText>
      </w:r>
      <w:r>
        <w:rPr>
          <w:lang w:val="en-US"/>
        </w:rPr>
        <w:fldChar w:fldCharType="separate"/>
      </w:r>
      <w:r w:rsidR="00E77D77" w:rsidRPr="00E77D77">
        <w:rPr>
          <w:noProof/>
          <w:lang w:val="en-US"/>
        </w:rPr>
        <w:t>(34–36)</w:t>
      </w:r>
      <w:r>
        <w:rPr>
          <w:lang w:val="en-US"/>
        </w:rPr>
        <w:fldChar w:fldCharType="end"/>
      </w:r>
      <w:r>
        <w:rPr>
          <w:lang w:val="en-US"/>
        </w:rPr>
        <w:t>.</w:t>
      </w:r>
      <w:r w:rsidR="00A16937">
        <w:rPr>
          <w:lang w:val="en-US"/>
        </w:rPr>
        <w:t xml:space="preserve"> </w:t>
      </w:r>
      <w:r w:rsidR="00025094">
        <w:rPr>
          <w:lang w:val="en-US"/>
        </w:rPr>
        <w:t>However,</w:t>
      </w:r>
      <w:r w:rsidR="00764255">
        <w:rPr>
          <w:lang w:val="en-US"/>
        </w:rPr>
        <w:t xml:space="preserve"> solubility predicting methods </w:t>
      </w:r>
      <w:r w:rsidR="00357405">
        <w:rPr>
          <w:lang w:val="en-US"/>
        </w:rPr>
        <w:t xml:space="preserve">typically do not </w:t>
      </w:r>
      <w:r w:rsidR="001D0903">
        <w:rPr>
          <w:lang w:val="en-US"/>
        </w:rPr>
        <w:t>consider</w:t>
      </w:r>
      <w:r w:rsidR="00764255">
        <w:rPr>
          <w:lang w:val="en-US"/>
        </w:rPr>
        <w:t xml:space="preserve"> solution pH</w:t>
      </w:r>
      <w:r w:rsidR="00357405">
        <w:rPr>
          <w:lang w:val="en-US"/>
        </w:rPr>
        <w:t xml:space="preserve"> but are only trained against physiological conditions</w:t>
      </w:r>
      <w:r w:rsidR="00764255">
        <w:rPr>
          <w:lang w:val="en-US"/>
        </w:rPr>
        <w:t>.</w:t>
      </w:r>
      <w:r w:rsidR="00357405">
        <w:rPr>
          <w:lang w:val="en-US"/>
        </w:rPr>
        <w:t xml:space="preserve"> In formulation science, where pH and ionic strength can differ strongly from this condition, pKas should therefore also be considered when assessing solubility. A carboxyl</w:t>
      </w:r>
      <w:r w:rsidR="00447DB7">
        <w:rPr>
          <w:lang w:val="en-US"/>
        </w:rPr>
        <w:t>ic</w:t>
      </w:r>
      <w:r w:rsidR="00357405">
        <w:rPr>
          <w:lang w:val="en-US"/>
        </w:rPr>
        <w:t xml:space="preserve"> </w:t>
      </w:r>
      <w:r w:rsidR="00447DB7">
        <w:rPr>
          <w:lang w:val="en-US"/>
        </w:rPr>
        <w:t>acid</w:t>
      </w:r>
      <w:r w:rsidR="00357405">
        <w:rPr>
          <w:lang w:val="en-US"/>
        </w:rPr>
        <w:t xml:space="preserve"> will for example show different solubilit</w:t>
      </w:r>
      <w:r w:rsidR="00447DB7">
        <w:rPr>
          <w:lang w:val="en-US"/>
        </w:rPr>
        <w:t>ies</w:t>
      </w:r>
      <w:r w:rsidR="00357405">
        <w:rPr>
          <w:lang w:val="en-US"/>
        </w:rPr>
        <w:t xml:space="preserve"> depending on its protonation state. </w:t>
      </w:r>
    </w:p>
    <w:p w14:paraId="4708A551" w14:textId="4DC91913" w:rsidR="008659C5" w:rsidRDefault="00A16937" w:rsidP="00A129E5">
      <w:pPr>
        <w:spacing w:line="480" w:lineRule="auto"/>
        <w:jc w:val="both"/>
        <w:rPr>
          <w:lang w:val="en-US"/>
        </w:rPr>
      </w:pPr>
      <w:r>
        <w:rPr>
          <w:lang w:val="en-US"/>
        </w:rPr>
        <w:t>A property closely linked to the</w:t>
      </w:r>
      <w:r w:rsidR="00764255">
        <w:rPr>
          <w:lang w:val="en-US"/>
        </w:rPr>
        <w:t xml:space="preserve"> water</w:t>
      </w:r>
      <w:r>
        <w:rPr>
          <w:lang w:val="en-US"/>
        </w:rPr>
        <w:t xml:space="preserve"> solubility is the octanol-water partition coefficient as a measure of hydrophobicity</w:t>
      </w:r>
      <w:r w:rsidR="00764255">
        <w:rPr>
          <w:lang w:val="en-US"/>
        </w:rPr>
        <w:t xml:space="preserve"> for small molecules</w:t>
      </w:r>
      <w:r>
        <w:rPr>
          <w:lang w:val="en-US"/>
        </w:rPr>
        <w:fldChar w:fldCharType="begin" w:fldLock="1"/>
      </w:r>
      <w:r w:rsidR="00E77D77">
        <w:rPr>
          <w:lang w:val="en-US"/>
        </w:rPr>
        <w:instrText>ADDIN CSL_CITATION {"citationItems":[{"id":"ITEM-1","itemData":{"abstract":"Experimental and computational approaches to estimate solubility and permeability in discovery and development settings are described. In the discovery setting 'the rule of 5' predicts that poor absorption or permeation is more likely when there are more than 5 H-bond donors, 10 H-bond acceptors, the molecular weight (MWT) is greater than 500 and the calculated Log P (CLogP) is greater than 5 (or MlogP . 4.15). Computational methodology for the rule-based Moriguchi Log P (MLogP) calculation is described. Turbidimetric solubility measurement is described and applied to known drugs. High throughput screening (HTS) leads tend to have higher MWT and Log P and lower turbidimetric solubility than leads in the pre-HTS era. In the development setting, solubility calculations focus on exact value prediction and are difficult because of polymorphism. Recent work on linear free energy relationships and Log P approaches are critically reviewed. Useful predictions are possible in closely related analog series when coupled with experimental thermodynamic solubility measurements.","author":[{"dropping-particle":"","family":"Lipinski","given":"Christopher A","non-dropping-particle":"","parse-names":false,"suffix":""},{"dropping-particle":"","family":"Lombardo","given":"Franco","non-dropping-particle":"","parse-names":false,"suffix":""},{"dropping-particle":"","family":"Dominy","given":"Beryl W","non-dropping-particle":"","parse-names":false,"suffix":""},{"dropping-particle":"","family":"Feeney","given":"Paul J","non-dropping-particle":"","parse-names":false,"suffix":""}],"container-title":"Advanced Drug Delivery Reviews","id":"ITEM-1","issued":{"date-parts":[["2001"]]},"page":"3-26","title":"Experimental and computational approaches to estimate solubility and permeability in drug discovery and development","type":"article-journal","volume":"46"},"uris":["http://www.mendeley.com/documents/?uuid=22ef9bf9-32d1-3912-ad70-676a117bbea3"]}],"mendeley":{"formattedCitation":"(37)","plainTextFormattedCitation":"(37)","previouslyFormattedCitation":"&lt;sup&gt;37&lt;/sup&gt;"},"properties":{"noteIndex":0},"schema":"https://github.com/citation-style-language/schema/raw/master/csl-citation.json"}</w:instrText>
      </w:r>
      <w:r>
        <w:rPr>
          <w:lang w:val="en-US"/>
        </w:rPr>
        <w:fldChar w:fldCharType="separate"/>
      </w:r>
      <w:r w:rsidR="00E77D77" w:rsidRPr="00E77D77">
        <w:rPr>
          <w:noProof/>
          <w:lang w:val="en-US"/>
        </w:rPr>
        <w:t>(37)</w:t>
      </w:r>
      <w:r>
        <w:rPr>
          <w:lang w:val="en-US"/>
        </w:rPr>
        <w:fldChar w:fldCharType="end"/>
      </w:r>
      <w:r>
        <w:rPr>
          <w:lang w:val="en-US"/>
        </w:rPr>
        <w:t xml:space="preserve">. </w:t>
      </w:r>
      <w:r w:rsidR="0078509D">
        <w:rPr>
          <w:lang w:val="en-US"/>
        </w:rPr>
        <w:t xml:space="preserve">The ZINC15 database can conveniently be filtered by predicted </w:t>
      </w:r>
      <m:oMath>
        <m:sSub>
          <m:sSubPr>
            <m:ctrlPr>
              <w:rPr>
                <w:rFonts w:ascii="Cambria Math" w:hAnsi="Cambria Math"/>
                <w:i/>
                <w:lang w:val="en-US"/>
              </w:rPr>
            </m:ctrlPr>
          </m:sSubPr>
          <m:e>
            <m:r>
              <w:rPr>
                <w:rFonts w:ascii="Cambria Math" w:hAnsi="Cambria Math"/>
                <w:lang w:val="en-US"/>
              </w:rPr>
              <m:t>log</m:t>
            </m:r>
          </m:e>
          <m:sub>
            <m:r>
              <w:rPr>
                <w:rFonts w:ascii="Cambria Math" w:hAnsi="Cambria Math"/>
                <w:lang w:val="en-US"/>
              </w:rPr>
              <m:t>10</m:t>
            </m:r>
          </m:sub>
        </m:sSub>
        <m:r>
          <w:rPr>
            <w:rFonts w:ascii="Cambria Math" w:hAnsi="Cambria Math"/>
            <w:lang w:val="en-US"/>
          </w:rPr>
          <m:t>P</m:t>
        </m:r>
      </m:oMath>
      <w:r w:rsidR="0078509D">
        <w:rPr>
          <w:lang w:val="en-US"/>
        </w:rPr>
        <w:t xml:space="preserve"> values</w:t>
      </w:r>
      <w:r w:rsidR="003E4EBC">
        <w:rPr>
          <w:lang w:val="en-US"/>
        </w:rPr>
        <w:fldChar w:fldCharType="begin" w:fldLock="1"/>
      </w:r>
      <w:r w:rsidR="00E77D77">
        <w:rPr>
          <w:lang w:val="en-US"/>
        </w:rPr>
        <w:instrText>ADDIN CSL_CITATION {"citationItems":[{"id":"ITEM-1","itemData":{"DOI":"10.1021/acs.jcim.5b00559","ISBN":"1549-9596","ISSN":"15205142","PMID":"26479676","abstract":"Many questions about the biological activity and availability of small molecules remain inaccessible to investigators who could most benefit from their answers. To narrow the gap between chemoinformatics and biology, we have developed a suite of ligand annotation, purchasability, target, and biology association tools, incorporated into ZINC and meant for investigators who are not computer specialists. The new version contains over 120 million purchasable “drug-like” compounds – effectively all organic molecules that are for sale – a quarter of which are available for immediate delivery. ZINC connects purchasable compounds to high-value ones such as metabolites, drugs, natural products, and annotated compounds from the literature. Compounds may be accessed by the genes for which they are annotated as well as the major and minor target classes to which those genes belong. It offers new analysis tools that are easy for nonspecialists yet with few limitations for experts. ZINC retains its original 3D roots – all molecules are available in biologically relevant, ready-to-dock formats. ZINC is freely available at http://zinc15.docking.org.","author":[{"dropping-particle":"","family":"Sterling","given":"Teague","non-dropping-particle":"","parse-names":false,"suffix":""},{"dropping-particle":"","family":"Irwin","given":"John J.","non-dropping-particle":"","parse-names":false,"suffix":""}],"container-title":"Journal of Chemical Information and Modeling","id":"ITEM-1","issue":"11","issued":{"date-parts":[["2015","11"]]},"page":"2324-2337","title":"ZINC 15 - Ligand Discovery for Everyone","type":"article-journal","volume":"55"},"uris":["http://www.mendeley.com/documents/?uuid=5bfacb49-cdeb-433e-bbef-a327e262dce2"]},{"id":"ITEM-2","itemData":{"DOI":"10.1021/ci049714","ISBN":"1549-9596 (Print)\\n1549-9596 (Linking)","ISSN":"15499596","PMID":"15667143","abstract":"A critical barrier to entry into structure-based virtual screening is the lack of a suitable, easy to access database of purchasable compounds. We have therefore prepared a library of 727 842 molecules, each with 3D structure, using catalogs of compounds from vendors (the size of this library continues to grow). The molecules have been assigned biologically relevant protonation states and are annotated with properties such as molecular weight, calculated LogP, and number of rotatable bonds. Each molecule in the library contains vendor and purchasing information and is ready for docking using a number of popular docking programs. Within certain limits, the molecules are prepared in multiple protonation states and multiple tautomeric forms. In one format, multiple conformations are available for the molecules. This database is available for free download (http://zinc.docking.org) in several common file formats including SMILES, mol2, 3D SDF, and DOCK flexibase format. A Web-based query tool incorporating a molecular drawing interface enables the database to be searched and browsed and subsets to be created. Users can process their own molecules by uploading them to a server. Our hope is that this database will bring virtual screening libraries to a wide community of structural biologists and medicinal chemists.","author":[{"dropping-particle":"","family":"Irwin","given":"John J.","non-dropping-particle":"","parse-names":false,"suffix":""},{"dropping-particle":"","family":"Shoichet","given":"Brian K.","non-dropping-particle":"","parse-names":false,"suffix":""}],"container-title":"Journal of Chemical Information and Modeling","id":"ITEM-2","issue":"1","issued":{"date-parts":[["2005"]]},"page":"177-182","title":"ZINC – A Free Database of Commercially Available Compounds for Virtual Screening","type":"article-journal","volume":"45"},"uris":["http://www.mendeley.com/documents/?uuid=6a01ddea-2363-4055-9048-73b70ef8d17f"]}],"mendeley":{"formattedCitation":"(38, 39)","plainTextFormattedCitation":"(38, 39)","previouslyFormattedCitation":"&lt;sup&gt;38,39&lt;/sup&gt;"},"properties":{"noteIndex":0},"schema":"https://github.com/citation-style-language/schema/raw/master/csl-citation.json"}</w:instrText>
      </w:r>
      <w:r w:rsidR="003E4EBC">
        <w:rPr>
          <w:lang w:val="en-US"/>
        </w:rPr>
        <w:fldChar w:fldCharType="separate"/>
      </w:r>
      <w:r w:rsidR="00E77D77" w:rsidRPr="00E77D77">
        <w:rPr>
          <w:noProof/>
          <w:lang w:val="en-US"/>
        </w:rPr>
        <w:t>(38, 39)</w:t>
      </w:r>
      <w:r w:rsidR="003E4EBC">
        <w:rPr>
          <w:lang w:val="en-US"/>
        </w:rPr>
        <w:fldChar w:fldCharType="end"/>
      </w:r>
      <w:r w:rsidR="0078509D">
        <w:rPr>
          <w:lang w:val="en-US"/>
        </w:rPr>
        <w:t>.</w:t>
      </w:r>
      <w:r w:rsidR="003E4EBC">
        <w:rPr>
          <w:lang w:val="en-US"/>
        </w:rPr>
        <w:t xml:space="preserve"> </w:t>
      </w:r>
    </w:p>
    <w:p w14:paraId="4FE2F7E4" w14:textId="70165708" w:rsidR="00A24285" w:rsidRPr="00A24285" w:rsidRDefault="0013457B" w:rsidP="00A129E5">
      <w:pPr>
        <w:spacing w:line="480" w:lineRule="auto"/>
        <w:jc w:val="both"/>
        <w:rPr>
          <w:i/>
          <w:u w:val="single"/>
          <w:lang w:val="en-US"/>
        </w:rPr>
      </w:pPr>
      <w:r>
        <w:rPr>
          <w:i/>
          <w:u w:val="single"/>
          <w:lang w:val="en-US"/>
        </w:rPr>
        <w:t xml:space="preserve">Experimental assessment of </w:t>
      </w:r>
      <w:r w:rsidR="00065DCB">
        <w:rPr>
          <w:i/>
          <w:u w:val="single"/>
          <w:lang w:val="en-US"/>
        </w:rPr>
        <w:t>protein stability</w:t>
      </w:r>
    </w:p>
    <w:p w14:paraId="101C3037" w14:textId="7882A534" w:rsidR="00303D38" w:rsidRDefault="00303D38" w:rsidP="00A129E5">
      <w:pPr>
        <w:spacing w:line="480" w:lineRule="auto"/>
        <w:jc w:val="both"/>
        <w:rPr>
          <w:lang w:val="en-US"/>
        </w:rPr>
      </w:pPr>
      <w:r>
        <w:rPr>
          <w:lang w:val="en-US"/>
        </w:rPr>
        <w:t>Once a compound passe</w:t>
      </w:r>
      <w:r w:rsidR="009C1B1A">
        <w:rPr>
          <w:lang w:val="en-US"/>
        </w:rPr>
        <w:t>d</w:t>
      </w:r>
      <w:r>
        <w:rPr>
          <w:lang w:val="en-US"/>
        </w:rPr>
        <w:t xml:space="preserve"> all filters of the virtual screen, we want to test its effect on protein aggregation experimentally.</w:t>
      </w:r>
    </w:p>
    <w:p w14:paraId="247265F4" w14:textId="6B05F308" w:rsidR="00603FFF" w:rsidRPr="00781806" w:rsidRDefault="00965F8C" w:rsidP="00A129E5">
      <w:pPr>
        <w:spacing w:line="480" w:lineRule="auto"/>
        <w:jc w:val="both"/>
        <w:rPr>
          <w:lang w:val="en-US"/>
        </w:rPr>
      </w:pPr>
      <w:r>
        <w:rPr>
          <w:lang w:val="en-US"/>
        </w:rPr>
        <w:lastRenderedPageBreak/>
        <w:t xml:space="preserve">Aggregation processes are typically very slow. </w:t>
      </w:r>
      <w:r w:rsidR="000B635E">
        <w:rPr>
          <w:lang w:val="en-US"/>
        </w:rPr>
        <w:t>To</w:t>
      </w:r>
      <w:r>
        <w:rPr>
          <w:lang w:val="en-US"/>
        </w:rPr>
        <w:t xml:space="preserve"> predict the stability of a formulation in a reasonable time frame, one can therefore test a formulation for surrogate endpoints such as e.g</w:t>
      </w:r>
      <w:r w:rsidR="00A34F6A">
        <w:rPr>
          <w:lang w:val="en-US"/>
        </w:rPr>
        <w:t>. the interaction parameter k</w:t>
      </w:r>
      <w:r w:rsidR="00A34F6A" w:rsidRPr="00A34F6A">
        <w:rPr>
          <w:vertAlign w:val="subscript"/>
          <w:lang w:val="en-US"/>
        </w:rPr>
        <w:t>d</w:t>
      </w:r>
      <w:r>
        <w:rPr>
          <w:lang w:val="en-US"/>
        </w:rPr>
        <w:t xml:space="preserve"> as a measure of colloidal stability or </w:t>
      </w:r>
      <w:r w:rsidR="0049661B">
        <w:rPr>
          <w:lang w:val="en-US"/>
        </w:rPr>
        <w:t>the inflection point</w:t>
      </w:r>
      <w:r w:rsidR="00A34F6A">
        <w:rPr>
          <w:lang w:val="en-US"/>
        </w:rPr>
        <w:t xml:space="preserve"> (IP)</w:t>
      </w:r>
      <w:r w:rsidR="0049661B">
        <w:rPr>
          <w:lang w:val="en-US"/>
        </w:rPr>
        <w:t xml:space="preserve"> of </w:t>
      </w:r>
      <w:r w:rsidR="00A34F6A">
        <w:rPr>
          <w:lang w:val="en-US"/>
        </w:rPr>
        <w:t xml:space="preserve">an unfolding experiment </w:t>
      </w:r>
      <w:r>
        <w:rPr>
          <w:lang w:val="en-US"/>
        </w:rPr>
        <w:t>as a measure of</w:t>
      </w:r>
      <w:r w:rsidR="000B635E">
        <w:rPr>
          <w:lang w:val="en-US"/>
        </w:rPr>
        <w:t xml:space="preserve"> conformational stability. Alternatively, s</w:t>
      </w:r>
      <w:r>
        <w:rPr>
          <w:lang w:val="en-US"/>
        </w:rPr>
        <w:t>tress-studies</w:t>
      </w:r>
      <w:r w:rsidR="000B635E">
        <w:rPr>
          <w:lang w:val="en-US"/>
        </w:rPr>
        <w:t xml:space="preserve"> can be performed, where the formulation is exposed to an aggregation trigger such as freezing/thawing, heat, </w:t>
      </w:r>
      <w:r w:rsidR="00F2411B">
        <w:rPr>
          <w:lang w:val="en-US"/>
        </w:rPr>
        <w:t xml:space="preserve">shaking, </w:t>
      </w:r>
      <w:r w:rsidR="000B635E">
        <w:rPr>
          <w:lang w:val="en-US"/>
        </w:rPr>
        <w:t>shear or light.</w:t>
      </w:r>
      <w:r w:rsidR="00303D38">
        <w:rPr>
          <w:lang w:val="en-US"/>
        </w:rPr>
        <w:t xml:space="preserve"> Light and thermal stress</w:t>
      </w:r>
      <w:r w:rsidR="00764255">
        <w:rPr>
          <w:lang w:val="en-US"/>
        </w:rPr>
        <w:t xml:space="preserve"> are known to</w:t>
      </w:r>
      <w:r w:rsidR="00303D38">
        <w:rPr>
          <w:lang w:val="en-US"/>
        </w:rPr>
        <w:t xml:space="preserve"> induce chemical changes </w:t>
      </w:r>
      <w:r w:rsidR="00764255">
        <w:rPr>
          <w:lang w:val="en-US"/>
        </w:rPr>
        <w:t xml:space="preserve">in the protein </w:t>
      </w:r>
      <w:r w:rsidR="00303D38">
        <w:rPr>
          <w:lang w:val="en-US"/>
        </w:rPr>
        <w:t>that are not the scope of this work</w:t>
      </w:r>
      <w:r w:rsidR="00D26342">
        <w:rPr>
          <w:lang w:val="en-US"/>
        </w:rPr>
        <w:fldChar w:fldCharType="begin" w:fldLock="1"/>
      </w:r>
      <w:r w:rsidR="00E77D77">
        <w:rPr>
          <w:lang w:val="en-US"/>
        </w:rPr>
        <w:instrText>ADDIN CSL_CITATION {"citationItems":[{"id":"ITEM-1","itemData":{"DOI":"10.1021/bi0258851","ISBN":"0006-2960 (Print)","ISSN":"00062960","PMID":"12206676","abstract":"Illumination of goat alpha-lactalbumin (GLA) with 280 or 295 nm light results in tryptophan-mediated photolysis of disulfide bonds within the protein. The photolysis is not dependent on the absence or presence of Ca(2+) and is observed as well on illumination of native and of partially unfolded GLA. However, photolysis of native GLA results in a partial unfolding of the protein. The latter phenomenon is most clearly observed on fluorescence measurements at low temperatures (near 3 degrees C). The photolysis induces some dimerization and oligomerization, but most GLA molecules remain monomeric. To obtain more information about the reaction products, the illuminated protein is treated with iodoacetamide to label the free thiol groups, it is fragmented with trypsin, and the fragments are analyzed by mass spectrometry. Via this approach, we observe that the cleavage of disulfide bonds is restricted to Cys6-Cys120 and Cys73-Cys91 bonds. The photolytic cleavage of either of these disulfide bonds results in the formation of a single free thiol, a phenomenon restricted to Cys120 and Cys91, respectively. We also found indications that a thioether linkage is formed between Cys73 and Trp60. The alkylsulfenylation of Trp60 presumably results from a combination of primary thiyl and tryptyl radicals.","author":[{"dropping-particle":"","family":"Vanhooren","given":"Ann","non-dropping-particle":"","parse-names":false,"suffix":""},{"dropping-particle":"","family":"Devreese","given":"Bart","non-dropping-particle":"","parse-names":false,"suffix":""},{"dropping-particle":"","family":"Vanhee","given":"Kristien","non-dropping-particle":"","parse-names":false,"suffix":""},{"dropping-particle":"","family":"Beeumen","given":"Jozef","non-dropping-particle":"Van","parse-names":false,"suffix":""},{"dropping-particle":"","family":"Hanssens","given":"Ignace","non-dropping-particle":"","parse-names":false,"suffix":""}],"container-title":"Biochemistry","id":"ITEM-1","issue":"36","issued":{"date-parts":[["2002"]]},"page":"11035-11043","title":"Photoexcitation of tryptophan groups induces reduction of two disulfide bonds in goat α-lactalbumin","type":"article-journal","volume":"41"},"uris":["http://www.mendeley.com/documents/?uuid=6d9eec5e-2c50-3997-b1b2-b4288f0488b2"]},{"id":"ITEM-2","itemData":{"DOI":"10.1023/A:1015887001987","ISBN":"0724-8741 (Print) 0724-8741 (Linking)","ISSN":"1573904X","PMID":"1409352","abstract":"Formation of covalent, higher molecular weight transformation (HMWT) products during storage of insulin preparations at 4-45 degrees C was studied by size exclusion chromatography. The main products are covalent insulin dimers (CID), but in protamine-containing preparations the concurrent formation of covalent insulin-protamine (CIP) products takes place. At temperatures greater than or equal to 25 degrees C parallel or consecutive formation of covalent oligo- and polymers can also be observed. Rate of HMWT is only slightly influenced by species of insulin but varies with composition and formulation, and for isophane (NPH) preparations, also with the strength of preparation. Temperature has a pronounced effect on CID, CIP, and, especially, covalent oligo- and polymer formation. The CIDs are apparently formed between molecules within the hexameric unit common for all types of preparations and rate of formation is generally faster in glycerol-containing preparations. Compared with insulin hydrolysis reactions (see the preceding paper), HMWT is one order of magnitude slower, except for NPH preparations.","author":[{"dropping-particle":"","family":"Brange","given":"Jens","non-dropping-particle":"","parse-names":false,"suffix":""},{"dropping-particle":"","family":"Havelund","given":"Svend","non-dropping-particle":"","parse-names":false,"suffix":""},{"dropping-particle":"","family":"Hougaard","given":"Philip","non-dropping-particle":"","parse-names":false,"suffix":""}],"container-title":"Pharmaceutical Research","id":"ITEM-2","issue":"6","issued":{"date-parts":[["1992"]]},"page":"727-734","title":"Chemical Stability of Insulin. 2. Formation of Higher Molecular Weight Transformation Products During Storage of Pharmaceutical Preparations","type":"article-journal","volume":"9"},"uris":["http://www.mendeley.com/documents/?uuid=3ee48b84-0114-3303-8ca9-ac1bc5effbce"]}],"mendeley":{"formattedCitation":"(40, 41)","plainTextFormattedCitation":"(40, 41)","previouslyFormattedCitation":"&lt;sup&gt;40,41&lt;/sup&gt;"},"properties":{"noteIndex":0},"schema":"https://github.com/citation-style-language/schema/raw/master/csl-citation.json"}</w:instrText>
      </w:r>
      <w:r w:rsidR="00D26342">
        <w:rPr>
          <w:lang w:val="en-US"/>
        </w:rPr>
        <w:fldChar w:fldCharType="separate"/>
      </w:r>
      <w:r w:rsidR="00E77D77" w:rsidRPr="00E77D77">
        <w:rPr>
          <w:noProof/>
          <w:lang w:val="en-US"/>
        </w:rPr>
        <w:t>(40, 41)</w:t>
      </w:r>
      <w:r w:rsidR="00D26342">
        <w:rPr>
          <w:lang w:val="en-US"/>
        </w:rPr>
        <w:fldChar w:fldCharType="end"/>
      </w:r>
      <w:r w:rsidR="00303D38">
        <w:rPr>
          <w:lang w:val="en-US"/>
        </w:rPr>
        <w:t>.</w:t>
      </w:r>
      <w:r w:rsidR="00953D26">
        <w:rPr>
          <w:lang w:val="en-US"/>
        </w:rPr>
        <w:t xml:space="preserve"> We therefore apply</w:t>
      </w:r>
      <w:r w:rsidR="00764255">
        <w:rPr>
          <w:lang w:val="en-US"/>
        </w:rPr>
        <w:t>, heat,</w:t>
      </w:r>
      <w:r w:rsidR="00953D26">
        <w:rPr>
          <w:lang w:val="en-US"/>
        </w:rPr>
        <w:t xml:space="preserve"> freeze-thaw </w:t>
      </w:r>
      <w:r w:rsidR="00F2411B">
        <w:rPr>
          <w:lang w:val="en-US"/>
        </w:rPr>
        <w:t xml:space="preserve">and shaking </w:t>
      </w:r>
      <w:r w:rsidR="00953D26">
        <w:rPr>
          <w:lang w:val="en-US"/>
        </w:rPr>
        <w:t>stress to evaluate the effect of the candidate excipients</w:t>
      </w:r>
      <w:r w:rsidR="00F2411B">
        <w:rPr>
          <w:lang w:val="en-US"/>
        </w:rPr>
        <w:t xml:space="preserve">. To benchmark our </w:t>
      </w:r>
      <w:r w:rsidR="00C15956">
        <w:rPr>
          <w:lang w:val="en-US"/>
        </w:rPr>
        <w:t>compounds,</w:t>
      </w:r>
      <w:r w:rsidR="00F2411B">
        <w:rPr>
          <w:lang w:val="en-US"/>
        </w:rPr>
        <w:t xml:space="preserve"> we compare them against L-arginine and D(+)-trehalose, two substances </w:t>
      </w:r>
      <w:r w:rsidR="00F94C11">
        <w:rPr>
          <w:lang w:val="en-US"/>
        </w:rPr>
        <w:t>commonly</w:t>
      </w:r>
      <w:r w:rsidR="00F2411B">
        <w:rPr>
          <w:lang w:val="en-US"/>
        </w:rPr>
        <w:t xml:space="preserve"> employed as excipients in protein formulation</w:t>
      </w:r>
      <w:r w:rsidR="00953D26">
        <w:rPr>
          <w:lang w:val="en-US"/>
        </w:rPr>
        <w:t>.</w:t>
      </w:r>
    </w:p>
    <w:p w14:paraId="5DB4BC2C" w14:textId="77777777" w:rsidR="005F0550" w:rsidRDefault="005F0550" w:rsidP="00A129E5">
      <w:pPr>
        <w:spacing w:line="480" w:lineRule="auto"/>
        <w:jc w:val="both"/>
        <w:rPr>
          <w:b/>
          <w:lang w:val="en-US"/>
        </w:rPr>
      </w:pPr>
      <w:r w:rsidRPr="005F0550">
        <w:rPr>
          <w:b/>
          <w:lang w:val="en-US"/>
        </w:rPr>
        <w:t>Results</w:t>
      </w:r>
    </w:p>
    <w:p w14:paraId="79A3C550" w14:textId="77777777" w:rsidR="002B4A1E" w:rsidRDefault="002B4A1E" w:rsidP="00A129E5">
      <w:pPr>
        <w:spacing w:line="480" w:lineRule="auto"/>
        <w:jc w:val="both"/>
        <w:rPr>
          <w:i/>
          <w:u w:val="single"/>
          <w:lang w:val="en-US"/>
        </w:rPr>
      </w:pPr>
      <w:r w:rsidRPr="009E2A7D">
        <w:rPr>
          <w:i/>
          <w:u w:val="single"/>
          <w:lang w:val="en-US"/>
        </w:rPr>
        <w:t>Virtual Screen</w:t>
      </w:r>
    </w:p>
    <w:p w14:paraId="411E6F7E" w14:textId="24E027F9" w:rsidR="00DF1BE2" w:rsidRDefault="005F3AD2" w:rsidP="00A129E5">
      <w:pPr>
        <w:spacing w:line="480" w:lineRule="auto"/>
        <w:jc w:val="both"/>
        <w:rPr>
          <w:lang w:val="en-US"/>
        </w:rPr>
      </w:pPr>
      <w:r>
        <w:rPr>
          <w:lang w:val="en-US"/>
        </w:rPr>
        <w:t xml:space="preserve">We identified </w:t>
      </w:r>
      <w:r w:rsidR="00AB2EA4">
        <w:rPr>
          <w:lang w:val="en-US"/>
        </w:rPr>
        <w:t xml:space="preserve">a </w:t>
      </w:r>
      <w:r w:rsidR="003D461C">
        <w:rPr>
          <w:lang w:val="en-US"/>
        </w:rPr>
        <w:t xml:space="preserve">potential aggregation hotspot at residues </w:t>
      </w:r>
      <w:r w:rsidR="000E36F6">
        <w:rPr>
          <w:lang w:val="en-US"/>
        </w:rPr>
        <w:t>L</w:t>
      </w:r>
      <w:r w:rsidR="003D461C">
        <w:rPr>
          <w:lang w:val="en-US"/>
        </w:rPr>
        <w:t xml:space="preserve">26 and </w:t>
      </w:r>
      <w:r w:rsidR="000E36F6">
        <w:rPr>
          <w:lang w:val="en-US"/>
        </w:rPr>
        <w:t>F</w:t>
      </w:r>
      <w:r w:rsidR="003D461C">
        <w:rPr>
          <w:lang w:val="en-US"/>
        </w:rPr>
        <w:t>27</w:t>
      </w:r>
      <w:r w:rsidR="00DF1BE2">
        <w:rPr>
          <w:lang w:val="en-US"/>
        </w:rPr>
        <w:t xml:space="preserve"> of IFN</w:t>
      </w:r>
      <w:r w:rsidR="003D461C">
        <w:rPr>
          <w:lang w:val="en-US"/>
        </w:rPr>
        <w:t xml:space="preserve"> using Aggrescan3D</w:t>
      </w:r>
      <w:r w:rsidR="003D461C">
        <w:rPr>
          <w:lang w:val="en-US"/>
        </w:rPr>
        <w:fldChar w:fldCharType="begin" w:fldLock="1"/>
      </w:r>
      <w:r w:rsidR="00E77D77">
        <w:rPr>
          <w:lang w:val="en-US"/>
        </w:rPr>
        <w:instrText>ADDIN CSL_CITATION {"citationItems":[{"id":"ITEM-1","itemData":{"DOI":"10.1093/nar/gkv359","ISSN":"13624962","PMID":"25883144","abstract":"Protein aggregation underlies an increasing number of disorders and constitutes a major bottleneck in the development of therapeutic proteins. Our present understanding on the molecular determinants of protein aggregation has crystalized in a series of predictive algorithms to identify aggregation-prone sites. A majority of these methods rely only on sequence. Therefore, they find difficulties to predict the aggregation properties of folded globular proteins, where aggregation-prone sites are often not contiguous in sequence or buried inside the native structure. The AGGRESCAN3D (A3D) server overcomes these limitations by taking into account the protein structure and the experimental aggregation propensity scale from the well-established AGGRESCAN method. Using the A3D server, the identified aggregation-prone residues can be virtually mutated to design variants with increased solubility, or to test the impact of pathogenic mutations. Additionally, A3D server enables to take into account the dynamic fluctuations of protein structure in solution, which may influence aggregation propensity. This is possible in A3D Dynamic Mode that exploits the CABS-flex approach for the fast simulations of flexibility of globular proteins. The A3D server can be accessed at http://biocomp.chem.uw.edu.pl/A3D/.","author":[{"dropping-particle":"","family":"Zambrano","given":"Rafael","non-dropping-particle":"","parse-names":false,"suffix":""},{"dropping-particle":"","family":"Jamroz","given":"Michal","non-dropping-particle":"","parse-names":false,"suffix":""},{"dropping-particle":"","family":"Szczasiuk","given":"Agata","non-dropping-particle":"","parse-names":false,"suffix":""},{"dropping-particle":"","family":"Pujols","given":"Jordi","non-dropping-particle":"","parse-names":false,"suffix":""},{"dropping-particle":"","family":"Kmiecik","given":"Sebastian","non-dropping-particle":"","parse-names":false,"suffix":""},{"dropping-particle":"","family":"Ventura","given":"Salvador","non-dropping-particle":"","parse-names":false,"suffix":""}],"container-title":"Nucleic Acids Research","id":"ITEM-1","issue":"W1","issued":{"date-parts":[["2015"]]},"page":"W306-W313","title":"AGGRESCAN3D (A3D): Server for prediction of aggregation properties of protein structures","type":"article-journal","volume":"43"},"uris":["http://www.mendeley.com/documents/?uuid=f3ea0ee1-345a-493e-a7db-f3d355a3bbc9"]}],"mendeley":{"formattedCitation":"(8)","plainTextFormattedCitation":"(8)","previouslyFormattedCitation":"&lt;sup&gt;8&lt;/sup&gt;"},"properties":{"noteIndex":0},"schema":"https://github.com/citation-style-language/schema/raw/master/csl-citation.json"}</w:instrText>
      </w:r>
      <w:r w:rsidR="003D461C">
        <w:rPr>
          <w:lang w:val="en-US"/>
        </w:rPr>
        <w:fldChar w:fldCharType="separate"/>
      </w:r>
      <w:r w:rsidR="00E77D77" w:rsidRPr="00E77D77">
        <w:rPr>
          <w:noProof/>
          <w:lang w:val="en-US"/>
        </w:rPr>
        <w:t>(8)</w:t>
      </w:r>
      <w:r w:rsidR="003D461C">
        <w:rPr>
          <w:lang w:val="en-US"/>
        </w:rPr>
        <w:fldChar w:fldCharType="end"/>
      </w:r>
      <w:r w:rsidR="003D461C">
        <w:rPr>
          <w:lang w:val="en-US"/>
        </w:rPr>
        <w:t xml:space="preserve"> (</w:t>
      </w:r>
      <w:r w:rsidR="003D461C">
        <w:rPr>
          <w:lang w:val="en-US"/>
        </w:rPr>
        <w:fldChar w:fldCharType="begin"/>
      </w:r>
      <w:r w:rsidR="003D461C">
        <w:rPr>
          <w:lang w:val="en-US"/>
        </w:rPr>
        <w:instrText xml:space="preserve"> REF _Ref510873761 \h </w:instrText>
      </w:r>
      <w:r w:rsidR="00A129E5">
        <w:rPr>
          <w:lang w:val="en-US"/>
        </w:rPr>
        <w:instrText xml:space="preserve"> \* MERGEFORMAT </w:instrText>
      </w:r>
      <w:r w:rsidR="003D461C">
        <w:rPr>
          <w:lang w:val="en-US"/>
        </w:rPr>
      </w:r>
      <w:r w:rsidR="003D461C">
        <w:rPr>
          <w:lang w:val="en-US"/>
        </w:rPr>
        <w:fldChar w:fldCharType="separate"/>
      </w:r>
      <w:r w:rsidR="00941055" w:rsidRPr="00703A3E">
        <w:rPr>
          <w:lang w:val="en-US"/>
        </w:rPr>
        <w:t xml:space="preserve">Figure </w:t>
      </w:r>
      <w:r w:rsidR="00941055">
        <w:rPr>
          <w:noProof/>
          <w:lang w:val="en-US"/>
        </w:rPr>
        <w:t>1</w:t>
      </w:r>
      <w:r w:rsidR="003D461C">
        <w:rPr>
          <w:lang w:val="en-US"/>
        </w:rPr>
        <w:fldChar w:fldCharType="end"/>
      </w:r>
      <w:r w:rsidR="003D461C">
        <w:rPr>
          <w:lang w:val="en-US"/>
        </w:rPr>
        <w:t>).</w:t>
      </w:r>
      <w:r>
        <w:rPr>
          <w:lang w:val="en-US"/>
        </w:rPr>
        <w:t xml:space="preserve"> The hotspot’s </w:t>
      </w:r>
      <w:r w:rsidR="002F0353">
        <w:rPr>
          <w:lang w:val="en-US"/>
        </w:rPr>
        <w:t>sc</w:t>
      </w:r>
      <w:r>
        <w:rPr>
          <w:lang w:val="en-US"/>
        </w:rPr>
        <w:t>ore remained unchanged among all 25 available structures, showing little effect of</w:t>
      </w:r>
      <w:r w:rsidR="00494B24">
        <w:rPr>
          <w:lang w:val="en-US"/>
        </w:rPr>
        <w:t xml:space="preserve"> protein</w:t>
      </w:r>
      <w:r>
        <w:rPr>
          <w:lang w:val="en-US"/>
        </w:rPr>
        <w:t xml:space="preserve"> dynamics on </w:t>
      </w:r>
      <w:r w:rsidR="004F1472">
        <w:rPr>
          <w:lang w:val="en-US"/>
        </w:rPr>
        <w:t>the calculated</w:t>
      </w:r>
      <w:r>
        <w:rPr>
          <w:lang w:val="en-US"/>
        </w:rPr>
        <w:t xml:space="preserve"> propensity. The </w:t>
      </w:r>
      <w:r w:rsidR="00B44668">
        <w:rPr>
          <w:lang w:val="en-US"/>
        </w:rPr>
        <w:t>highest-ranking</w:t>
      </w:r>
      <w:r w:rsidR="004F1472">
        <w:rPr>
          <w:lang w:val="en-US"/>
        </w:rPr>
        <w:t xml:space="preserve"> residue patch</w:t>
      </w:r>
      <w:r>
        <w:rPr>
          <w:lang w:val="en-US"/>
        </w:rPr>
        <w:t xml:space="preserve"> </w:t>
      </w:r>
      <w:r w:rsidR="002A2A21">
        <w:rPr>
          <w:lang w:val="en-US"/>
        </w:rPr>
        <w:t>was</w:t>
      </w:r>
      <w:r>
        <w:rPr>
          <w:lang w:val="en-US"/>
        </w:rPr>
        <w:t xml:space="preserve"> defined as binding site for a subsequent virtual screen. Candidate compounds would ideally bind </w:t>
      </w:r>
      <w:r w:rsidR="002A2A21">
        <w:rPr>
          <w:lang w:val="en-US"/>
        </w:rPr>
        <w:t>in proximity</w:t>
      </w:r>
      <w:r>
        <w:rPr>
          <w:lang w:val="en-US"/>
        </w:rPr>
        <w:t xml:space="preserve"> to the hotspot, blocking it from </w:t>
      </w:r>
      <w:r w:rsidR="00AB2EA4">
        <w:rPr>
          <w:lang w:val="en-US"/>
        </w:rPr>
        <w:t>driving the formation of</w:t>
      </w:r>
      <w:r>
        <w:rPr>
          <w:lang w:val="en-US"/>
        </w:rPr>
        <w:t xml:space="preserve"> a protein-protein interface.</w:t>
      </w:r>
    </w:p>
    <w:p w14:paraId="7B07C008" w14:textId="0E7D9555" w:rsidR="002766C3" w:rsidRPr="005F5B7C" w:rsidRDefault="005F5B7C" w:rsidP="00A129E5">
      <w:pPr>
        <w:spacing w:line="480" w:lineRule="auto"/>
        <w:jc w:val="both"/>
        <w:rPr>
          <w:lang w:val="en-US"/>
        </w:rPr>
      </w:pPr>
      <w:r>
        <w:rPr>
          <w:lang w:val="en-US"/>
        </w:rPr>
        <w:t>Applying a second solubility filter orthogonal to the ZINC database</w:t>
      </w:r>
      <w:r w:rsidR="002A2A21">
        <w:rPr>
          <w:lang w:val="en-US"/>
        </w:rPr>
        <w:t>’s</w:t>
      </w:r>
      <w:r>
        <w:rPr>
          <w:lang w:val="en-US"/>
        </w:rPr>
        <w:t xml:space="preserve"> internal </w:t>
      </w:r>
      <m:oMath>
        <m:sSub>
          <m:sSubPr>
            <m:ctrlPr>
              <w:rPr>
                <w:rFonts w:ascii="Cambria Math" w:hAnsi="Cambria Math"/>
                <w:i/>
                <w:lang w:val="en-US"/>
              </w:rPr>
            </m:ctrlPr>
          </m:sSubPr>
          <m:e>
            <m:r>
              <w:rPr>
                <w:rFonts w:ascii="Cambria Math" w:hAnsi="Cambria Math"/>
                <w:lang w:val="en-US"/>
              </w:rPr>
              <m:t>log</m:t>
            </m:r>
          </m:e>
          <m:sub>
            <m:r>
              <w:rPr>
                <w:rFonts w:ascii="Cambria Math" w:hAnsi="Cambria Math"/>
                <w:lang w:val="en-US"/>
              </w:rPr>
              <m:t>10</m:t>
            </m:r>
          </m:sub>
        </m:sSub>
        <m:r>
          <w:rPr>
            <w:rFonts w:ascii="Cambria Math" w:hAnsi="Cambria Math"/>
            <w:lang w:val="en-US"/>
          </w:rPr>
          <m:t>P</m:t>
        </m:r>
      </m:oMath>
      <w:r w:rsidR="0071707D">
        <w:rPr>
          <w:lang w:val="en-US"/>
        </w:rPr>
        <w:t xml:space="preserve"> </w:t>
      </w:r>
      <w:r>
        <w:rPr>
          <w:lang w:val="en-US"/>
        </w:rPr>
        <w:t xml:space="preserve">filter reduced the </w:t>
      </w:r>
      <w:r w:rsidR="003D461C">
        <w:rPr>
          <w:lang w:val="en-US"/>
        </w:rPr>
        <w:t>number</w:t>
      </w:r>
      <w:r>
        <w:rPr>
          <w:lang w:val="en-US"/>
        </w:rPr>
        <w:t xml:space="preserve"> of candidates from 52,980 by 40% to 33,101 compounds. </w:t>
      </w:r>
      <w:r w:rsidR="001C0665">
        <w:rPr>
          <w:lang w:val="en-US"/>
        </w:rPr>
        <w:t xml:space="preserve">The compounds were then docked with Maestro’s virtual screen workflow using GlideSP and GlideXP. The best scoring compounds were then rescored using the MM-GBSA solvent model. </w:t>
      </w:r>
      <w:r>
        <w:rPr>
          <w:lang w:val="en-US"/>
        </w:rPr>
        <w:t xml:space="preserve">After docking the compounds at increasing levels of </w:t>
      </w:r>
      <w:r w:rsidR="00BB6F8F">
        <w:rPr>
          <w:lang w:val="en-US"/>
        </w:rPr>
        <w:t xml:space="preserve">precision and conformational sampling, </w:t>
      </w:r>
      <w:r w:rsidR="00BB6F8F" w:rsidRPr="00C44C60">
        <w:rPr>
          <w:lang w:val="en-US"/>
        </w:rPr>
        <w:t xml:space="preserve">167 </w:t>
      </w:r>
      <w:r w:rsidR="00BB6F8F">
        <w:rPr>
          <w:lang w:val="en-US"/>
        </w:rPr>
        <w:t xml:space="preserve">compounds were </w:t>
      </w:r>
      <w:r w:rsidR="005F116D">
        <w:rPr>
          <w:lang w:val="en-US"/>
        </w:rPr>
        <w:t xml:space="preserve">predicted to bind in the hotspot’s proximity. </w:t>
      </w:r>
      <w:r w:rsidR="00B95FE0">
        <w:rPr>
          <w:lang w:val="en-US"/>
        </w:rPr>
        <w:t>These</w:t>
      </w:r>
      <w:r w:rsidR="005F116D">
        <w:rPr>
          <w:lang w:val="en-US"/>
        </w:rPr>
        <w:t xml:space="preserve"> were inspected visually and </w:t>
      </w:r>
      <w:r w:rsidR="004F1472">
        <w:rPr>
          <w:lang w:val="en-US"/>
        </w:rPr>
        <w:t>five</w:t>
      </w:r>
      <w:r w:rsidR="0071707D">
        <w:rPr>
          <w:lang w:val="en-US"/>
        </w:rPr>
        <w:t xml:space="preserve"> were purchased based on their price and availability</w:t>
      </w:r>
      <w:r w:rsidR="00943F54">
        <w:rPr>
          <w:lang w:val="en-US"/>
        </w:rPr>
        <w:t xml:space="preserve"> (</w:t>
      </w:r>
      <w:r w:rsidR="00EF1F34">
        <w:rPr>
          <w:lang w:val="en-US"/>
        </w:rPr>
        <w:fldChar w:fldCharType="begin"/>
      </w:r>
      <w:r w:rsidR="00EF1F34">
        <w:rPr>
          <w:lang w:val="en-US"/>
        </w:rPr>
        <w:instrText xml:space="preserve"> REF _Ref510885891 \h </w:instrText>
      </w:r>
      <w:r w:rsidR="00A129E5">
        <w:rPr>
          <w:lang w:val="en-US"/>
        </w:rPr>
        <w:instrText xml:space="preserve"> \* MERGEFORMAT </w:instrText>
      </w:r>
      <w:r w:rsidR="00EF1F34">
        <w:rPr>
          <w:lang w:val="en-US"/>
        </w:rPr>
      </w:r>
      <w:r w:rsidR="00EF1F34">
        <w:rPr>
          <w:lang w:val="en-US"/>
        </w:rPr>
        <w:fldChar w:fldCharType="separate"/>
      </w:r>
      <w:r w:rsidR="00941055" w:rsidRPr="0071707D">
        <w:rPr>
          <w:lang w:val="en-US"/>
        </w:rPr>
        <w:t xml:space="preserve">Table </w:t>
      </w:r>
      <w:r w:rsidR="00941055">
        <w:rPr>
          <w:noProof/>
          <w:lang w:val="en-US"/>
        </w:rPr>
        <w:t>1</w:t>
      </w:r>
      <w:r w:rsidR="00EF1F34">
        <w:rPr>
          <w:lang w:val="en-US"/>
        </w:rPr>
        <w:fldChar w:fldCharType="end"/>
      </w:r>
      <w:r w:rsidR="00EF1F34">
        <w:rPr>
          <w:lang w:val="en-US"/>
        </w:rPr>
        <w:t xml:space="preserve">, </w:t>
      </w:r>
      <w:r w:rsidR="00943F54">
        <w:rPr>
          <w:lang w:val="en-US"/>
        </w:rPr>
        <w:fldChar w:fldCharType="begin"/>
      </w:r>
      <w:r w:rsidR="00943F54">
        <w:rPr>
          <w:lang w:val="en-US"/>
        </w:rPr>
        <w:instrText xml:space="preserve"> REF _Ref510875549 \h </w:instrText>
      </w:r>
      <w:r w:rsidR="00A129E5">
        <w:rPr>
          <w:lang w:val="en-US"/>
        </w:rPr>
        <w:instrText xml:space="preserve"> \* MERGEFORMAT </w:instrText>
      </w:r>
      <w:r w:rsidR="00943F54">
        <w:rPr>
          <w:lang w:val="en-US"/>
        </w:rPr>
      </w:r>
      <w:r w:rsidR="00943F54">
        <w:rPr>
          <w:lang w:val="en-US"/>
        </w:rPr>
        <w:fldChar w:fldCharType="separate"/>
      </w:r>
      <w:r w:rsidR="00941055" w:rsidRPr="007708D9">
        <w:rPr>
          <w:lang w:val="en-US"/>
        </w:rPr>
        <w:t xml:space="preserve">Figure </w:t>
      </w:r>
      <w:r w:rsidR="00941055">
        <w:rPr>
          <w:noProof/>
          <w:lang w:val="en-US"/>
        </w:rPr>
        <w:t>2</w:t>
      </w:r>
      <w:r w:rsidR="00943F54">
        <w:rPr>
          <w:lang w:val="en-US"/>
        </w:rPr>
        <w:fldChar w:fldCharType="end"/>
      </w:r>
      <w:r w:rsidR="00943F54">
        <w:rPr>
          <w:lang w:val="en-US"/>
        </w:rPr>
        <w:t>)</w:t>
      </w:r>
      <w:r w:rsidR="00BB6F8F">
        <w:rPr>
          <w:lang w:val="en-US"/>
        </w:rPr>
        <w:t>.</w:t>
      </w:r>
    </w:p>
    <w:p w14:paraId="2722388F" w14:textId="77777777" w:rsidR="002B4A1E" w:rsidRDefault="0006716C" w:rsidP="00A129E5">
      <w:pPr>
        <w:spacing w:line="480" w:lineRule="auto"/>
        <w:rPr>
          <w:i/>
          <w:u w:val="single"/>
          <w:lang w:val="en-US"/>
        </w:rPr>
      </w:pPr>
      <w:r w:rsidRPr="0006716C">
        <w:rPr>
          <w:noProof/>
          <w:lang w:val="en-US"/>
        </w:rPr>
        <mc:AlternateContent>
          <mc:Choice Requires="wps">
            <w:drawing>
              <wp:anchor distT="0" distB="0" distL="114300" distR="114300" simplePos="0" relativeHeight="251663360" behindDoc="0" locked="0" layoutInCell="1" allowOverlap="1" wp14:anchorId="7D2793DA" wp14:editId="72601325">
                <wp:simplePos x="0" y="0"/>
                <wp:positionH relativeFrom="column">
                  <wp:posOffset>11871660</wp:posOffset>
                </wp:positionH>
                <wp:positionV relativeFrom="paragraph">
                  <wp:posOffset>13944844</wp:posOffset>
                </wp:positionV>
                <wp:extent cx="1821662" cy="541767"/>
                <wp:effectExtent l="0" t="0" r="26670" b="10795"/>
                <wp:wrapNone/>
                <wp:docPr id="47" name="Textfeld 46"/>
                <wp:cNvGraphicFramePr/>
                <a:graphic xmlns:a="http://schemas.openxmlformats.org/drawingml/2006/main">
                  <a:graphicData uri="http://schemas.microsoft.com/office/word/2010/wordprocessingShape">
                    <wps:wsp>
                      <wps:cNvSpPr txBox="1"/>
                      <wps:spPr>
                        <a:xfrm>
                          <a:off x="0" y="0"/>
                          <a:ext cx="1821662" cy="541767"/>
                        </a:xfrm>
                        <a:prstGeom prst="rect">
                          <a:avLst/>
                        </a:prstGeom>
                        <a:solidFill>
                          <a:schemeClr val="bg1"/>
                        </a:solidFill>
                        <a:ln>
                          <a:solidFill>
                            <a:schemeClr val="tx1"/>
                          </a:solidFill>
                        </a:ln>
                      </wps:spPr>
                      <wps:txbx>
                        <w:txbxContent>
                          <w:p w14:paraId="302A60C1" w14:textId="77777777" w:rsidR="00887C61" w:rsidRDefault="00887C61" w:rsidP="0006716C">
                            <w:pPr>
                              <w:pStyle w:val="NormalWeb"/>
                              <w:spacing w:before="216" w:beforeAutospacing="0" w:after="0" w:afterAutospacing="0" w:line="288" w:lineRule="auto"/>
                              <w:jc w:val="both"/>
                              <w:textAlignment w:val="baseline"/>
                            </w:pPr>
                            <w:r>
                              <w:rPr>
                                <w:rFonts w:ascii="Verdana" w:hAnsi="Verdana" w:cstheme="minorBidi"/>
                                <w:color w:val="000000" w:themeColor="text1"/>
                                <w:kern w:val="24"/>
                                <w:sz w:val="36"/>
                                <w:szCs w:val="36"/>
                              </w:rPr>
                              <w:t>5 substances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D2793DA" id="_x0000_t202" coordsize="21600,21600" o:spt="202" path="m,l,21600r21600,l21600,xe">
                <v:stroke joinstyle="miter"/>
                <v:path gradientshapeok="t" o:connecttype="rect"/>
              </v:shapetype>
              <v:shape id="Textfeld 46" o:spid="_x0000_s1026" type="#_x0000_t202" style="position:absolute;margin-left:934.8pt;margin-top:1098pt;width:143.45pt;height:4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" fillcolor="white [3212]" strokecolor="black [3213]">
                <v:textbox>
                  <w:txbxContent>
                    <w:p w14:paraId="302A60C1" w14:textId="77777777" w:rsidR="00887C61" w:rsidRDefault="00887C61" w:rsidP="0006716C">
                      <w:pPr>
                        <w:pStyle w:val="NormalWeb"/>
                        <w:spacing w:before="216" w:beforeAutospacing="0" w:after="0" w:afterAutospacing="0" w:line="288" w:lineRule="auto"/>
                        <w:jc w:val="both"/>
                        <w:textAlignment w:val="baseline"/>
                      </w:pPr>
                      <w:r>
                        <w:rPr>
                          <w:rFonts w:ascii="Verdana" w:hAnsi="Verdana" w:cstheme="minorBidi"/>
                          <w:color w:val="000000" w:themeColor="text1"/>
                          <w:kern w:val="24"/>
                          <w:sz w:val="36"/>
                          <w:szCs w:val="36"/>
                        </w:rPr>
                        <w:t>5 substances</w:t>
                      </w:r>
                    </w:p>
                  </w:txbxContent>
                </v:textbox>
              </v:shape>
            </w:pict>
          </mc:Fallback>
        </mc:AlternateContent>
      </w:r>
      <w:r w:rsidRPr="0006716C">
        <w:rPr>
          <w:noProof/>
          <w:lang w:val="en-US"/>
        </w:rPr>
        <mc:AlternateContent>
          <mc:Choice Requires="wps">
            <w:drawing>
              <wp:anchor distT="0" distB="0" distL="114300" distR="114300" simplePos="0" relativeHeight="251666432" behindDoc="0" locked="0" layoutInCell="1" allowOverlap="1" wp14:anchorId="6ACB6382" wp14:editId="17B54FD1">
                <wp:simplePos x="0" y="0"/>
                <wp:positionH relativeFrom="column">
                  <wp:posOffset>24000020</wp:posOffset>
                </wp:positionH>
                <wp:positionV relativeFrom="paragraph">
                  <wp:posOffset>-1469327</wp:posOffset>
                </wp:positionV>
                <wp:extent cx="5521597" cy="5739364"/>
                <wp:effectExtent l="0" t="0" r="0" b="0"/>
                <wp:wrapNone/>
                <wp:docPr id="53" name="Textfeld 52"/>
                <wp:cNvGraphicFramePr/>
                <a:graphic xmlns:a="http://schemas.openxmlformats.org/drawingml/2006/main">
                  <a:graphicData uri="http://schemas.microsoft.com/office/word/2010/wordprocessingShape">
                    <wps:wsp>
                      <wps:cNvSpPr txBox="1"/>
                      <wps:spPr>
                        <a:xfrm>
                          <a:off x="0" y="0"/>
                          <a:ext cx="5521597" cy="5739364"/>
                        </a:xfrm>
                        <a:prstGeom prst="rect">
                          <a:avLst/>
                        </a:prstGeom>
                        <a:noFill/>
                      </wps:spPr>
                      <wps:txbx>
                        <w:txbxContent>
                          <w:p w14:paraId="6294036B" w14:textId="77777777" w:rsidR="00887C61" w:rsidRDefault="00887C61" w:rsidP="0006716C">
                            <w:pPr>
                              <w:pStyle w:val="NormalWeb"/>
                              <w:spacing w:before="240" w:beforeAutospacing="0" w:after="0" w:afterAutospacing="0" w:line="288" w:lineRule="auto"/>
                              <w:jc w:val="both"/>
                              <w:textAlignment w:val="baseline"/>
                            </w:pPr>
                            <w:r>
                              <w:rPr>
                                <w:rFonts w:ascii="Verdana" w:hAnsi="Verdana" w:cstheme="minorBidi"/>
                                <w:b/>
                                <w:bCs/>
                                <w:color w:val="000000" w:themeColor="text1"/>
                                <w:kern w:val="24"/>
                                <w:sz w:val="40"/>
                                <w:szCs w:val="40"/>
                              </w:rPr>
                              <w:t>Figure 1</w:t>
                            </w:r>
                            <w:r>
                              <w:rPr>
                                <w:rFonts w:ascii="Verdana" w:hAnsi="Verdana" w:cstheme="minorBidi"/>
                                <w:color w:val="000000" w:themeColor="text1"/>
                                <w:kern w:val="24"/>
                                <w:sz w:val="40"/>
                                <w:szCs w:val="40"/>
                              </w:rPr>
                              <w:t xml:space="preserve">: Virtual Screen – The Zinc15 database serves as source for commercially available compounds. The internal ZINC15 filters are applied to exclude reactive, unavailable or insoluble compounds. </w:t>
                            </w:r>
                          </w:p>
                          <w:p w14:paraId="63541E20" w14:textId="77777777" w:rsidR="00887C61" w:rsidRDefault="00887C61" w:rsidP="0006716C">
                            <w:pPr>
                              <w:pStyle w:val="NormalWeb"/>
                              <w:spacing w:before="240" w:beforeAutospacing="0" w:after="0" w:afterAutospacing="0" w:line="288" w:lineRule="auto"/>
                              <w:jc w:val="both"/>
                              <w:textAlignment w:val="baseline"/>
                            </w:pPr>
                            <w:r>
                              <w:rPr>
                                <w:rFonts w:ascii="Verdana" w:hAnsi="Verdana" w:cstheme="minorBidi"/>
                                <w:color w:val="000000" w:themeColor="text1"/>
                                <w:kern w:val="24"/>
                                <w:sz w:val="40"/>
                                <w:szCs w:val="40"/>
                              </w:rPr>
                              <w:t>An additional filter for solubility and reactivity is applied using the Qikprop tool. The compounds that passed the filters are docked with Glide to the target site of Interferon-alpha-2a. MM-GBSA is used to rate the generated poses by their free energy of binding. We used the SciFinder database to identify commercially available compounds.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ACB6382" id="Textfeld 52" o:spid="_x0000_s1027" type="#_x0000_t202" style="position:absolute;margin-left:1889.75pt;margin-top:-115.7pt;width:434.75pt;height:45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" filled="f" stroked="f">
                <v:textbox>
                  <w:txbxContent>
                    <w:p w14:paraId="6294036B" w14:textId="77777777" w:rsidR="00887C61" w:rsidRDefault="00887C61" w:rsidP="0006716C">
                      <w:pPr>
                        <w:pStyle w:val="NormalWeb"/>
                        <w:spacing w:before="240" w:beforeAutospacing="0" w:after="0" w:afterAutospacing="0" w:line="288" w:lineRule="auto"/>
                        <w:jc w:val="both"/>
                        <w:textAlignment w:val="baseline"/>
                      </w:pPr>
                      <w:r>
                        <w:rPr>
                          <w:rFonts w:ascii="Verdana" w:hAnsi="Verdana" w:cstheme="minorBidi"/>
                          <w:b/>
                          <w:bCs/>
                          <w:color w:val="000000" w:themeColor="text1"/>
                          <w:kern w:val="24"/>
                          <w:sz w:val="40"/>
                          <w:szCs w:val="40"/>
                        </w:rPr>
                        <w:t>Figure 1</w:t>
                      </w:r>
                      <w:r>
                        <w:rPr>
                          <w:rFonts w:ascii="Verdana" w:hAnsi="Verdana" w:cstheme="minorBidi"/>
                          <w:color w:val="000000" w:themeColor="text1"/>
                          <w:kern w:val="24"/>
                          <w:sz w:val="40"/>
                          <w:szCs w:val="40"/>
                        </w:rPr>
                        <w:t xml:space="preserve">: Virtual Screen – The Zinc15 database serves as source for commercially available compounds. The internal ZINC15 filters are applied to exclude reactive, unavailable or insoluble compounds. </w:t>
                      </w:r>
                    </w:p>
                    <w:p w14:paraId="63541E20" w14:textId="77777777" w:rsidR="00887C61" w:rsidRDefault="00887C61" w:rsidP="0006716C">
                      <w:pPr>
                        <w:pStyle w:val="NormalWeb"/>
                        <w:spacing w:before="240" w:beforeAutospacing="0" w:after="0" w:afterAutospacing="0" w:line="288" w:lineRule="auto"/>
                        <w:jc w:val="both"/>
                        <w:textAlignment w:val="baseline"/>
                      </w:pPr>
                      <w:r>
                        <w:rPr>
                          <w:rFonts w:ascii="Verdana" w:hAnsi="Verdana" w:cstheme="minorBidi"/>
                          <w:color w:val="000000" w:themeColor="text1"/>
                          <w:kern w:val="24"/>
                          <w:sz w:val="40"/>
                          <w:szCs w:val="40"/>
                        </w:rPr>
                        <w:t>An additional filter for solubility and reactivity is applied using the Qikprop tool. The compounds that passed the filters are docked with Glide to the target site of Interferon-alpha-2a. MM-GBSA is used to rate the generated poses by their free energy of binding. We used the SciFinder database to identify commercially available compounds.</w:t>
                      </w:r>
                    </w:p>
                  </w:txbxContent>
                </v:textbox>
              </v:shape>
            </w:pict>
          </mc:Fallback>
        </mc:AlternateContent>
      </w:r>
      <w:r w:rsidR="002B4A1E" w:rsidRPr="009E2A7D">
        <w:rPr>
          <w:i/>
          <w:u w:val="single"/>
          <w:lang w:val="en-US"/>
        </w:rPr>
        <w:t>Binding study</w:t>
      </w:r>
    </w:p>
    <w:p w14:paraId="66E09AC4" w14:textId="78C7917C" w:rsidR="00A609F4" w:rsidRDefault="005F5B7C" w:rsidP="00A129E5">
      <w:pPr>
        <w:spacing w:line="480" w:lineRule="auto"/>
        <w:jc w:val="both"/>
        <w:rPr>
          <w:lang w:val="en-US"/>
        </w:rPr>
      </w:pPr>
      <w:r>
        <w:rPr>
          <w:lang w:val="en-US"/>
        </w:rPr>
        <w:lastRenderedPageBreak/>
        <w:t xml:space="preserve">All </w:t>
      </w:r>
      <w:r w:rsidR="000B2AB0">
        <w:rPr>
          <w:lang w:val="en-US"/>
        </w:rPr>
        <w:t>five</w:t>
      </w:r>
      <w:r>
        <w:rPr>
          <w:lang w:val="en-US"/>
        </w:rPr>
        <w:t xml:space="preserve"> compounds tested for binding readily dissolved in the experimental buffer, owed to the rigorous filters applied in the prior virtual screen. </w:t>
      </w:r>
      <w:r w:rsidR="00AF7F93">
        <w:rPr>
          <w:lang w:val="en-US"/>
        </w:rPr>
        <w:t xml:space="preserve">Out of the tested compounds, only </w:t>
      </w:r>
      <w:r w:rsidR="00EE40F9">
        <w:rPr>
          <w:lang w:val="en-US"/>
        </w:rPr>
        <w:t>c</w:t>
      </w:r>
      <w:r w:rsidR="0062200C" w:rsidRPr="00EE40F9">
        <w:rPr>
          <w:lang w:val="en-US"/>
        </w:rPr>
        <w:t>ompound</w:t>
      </w:r>
      <w:r w:rsidR="0062200C">
        <w:rPr>
          <w:lang w:val="en-US"/>
        </w:rPr>
        <w:t xml:space="preserve"> </w:t>
      </w:r>
      <w:r w:rsidR="00C1557E" w:rsidRPr="00C1557E">
        <w:rPr>
          <w:b/>
          <w:lang w:val="en-US"/>
        </w:rPr>
        <w:t>A</w:t>
      </w:r>
      <w:r w:rsidR="00FA0284">
        <w:rPr>
          <w:lang w:val="en-US"/>
        </w:rPr>
        <w:t xml:space="preserve"> </w:t>
      </w:r>
      <w:r w:rsidR="00B84212">
        <w:rPr>
          <w:lang w:val="en-US"/>
        </w:rPr>
        <w:t xml:space="preserve">and </w:t>
      </w:r>
      <w:r w:rsidR="00FA0284">
        <w:rPr>
          <w:lang w:val="en-US"/>
        </w:rPr>
        <w:t>L-a</w:t>
      </w:r>
      <w:r w:rsidR="00B84212">
        <w:rPr>
          <w:lang w:val="en-US"/>
        </w:rPr>
        <w:t xml:space="preserve">rginine </w:t>
      </w:r>
      <w:r w:rsidR="00AF7F93">
        <w:rPr>
          <w:lang w:val="en-US"/>
        </w:rPr>
        <w:t>w</w:t>
      </w:r>
      <w:r w:rsidR="00B84212">
        <w:rPr>
          <w:lang w:val="en-US"/>
        </w:rPr>
        <w:t>ere</w:t>
      </w:r>
      <w:r w:rsidR="00AF7F93">
        <w:rPr>
          <w:lang w:val="en-US"/>
        </w:rPr>
        <w:t xml:space="preserve"> detected to bind to the target</w:t>
      </w:r>
      <w:r w:rsidR="00EF1F34">
        <w:rPr>
          <w:lang w:val="en-US"/>
        </w:rPr>
        <w:t xml:space="preserve"> (</w:t>
      </w:r>
      <w:r w:rsidR="00EF1F34">
        <w:rPr>
          <w:lang w:val="en-US"/>
        </w:rPr>
        <w:fldChar w:fldCharType="begin"/>
      </w:r>
      <w:r w:rsidR="00EF1F34">
        <w:rPr>
          <w:lang w:val="en-US"/>
        </w:rPr>
        <w:instrText xml:space="preserve"> REF _Ref510885891 \h </w:instrText>
      </w:r>
      <w:r w:rsidR="00A129E5">
        <w:rPr>
          <w:lang w:val="en-US"/>
        </w:rPr>
        <w:instrText xml:space="preserve"> \* MERGEFORMAT </w:instrText>
      </w:r>
      <w:r w:rsidR="00EF1F34">
        <w:rPr>
          <w:lang w:val="en-US"/>
        </w:rPr>
      </w:r>
      <w:r w:rsidR="00EF1F34">
        <w:rPr>
          <w:lang w:val="en-US"/>
        </w:rPr>
        <w:fldChar w:fldCharType="separate"/>
      </w:r>
      <w:r w:rsidR="00941055" w:rsidRPr="0071707D">
        <w:rPr>
          <w:lang w:val="en-US"/>
        </w:rPr>
        <w:t xml:space="preserve">Table </w:t>
      </w:r>
      <w:r w:rsidR="00941055">
        <w:rPr>
          <w:noProof/>
          <w:lang w:val="en-US"/>
        </w:rPr>
        <w:t>1</w:t>
      </w:r>
      <w:r w:rsidR="00EF1F34">
        <w:rPr>
          <w:lang w:val="en-US"/>
        </w:rPr>
        <w:fldChar w:fldCharType="end"/>
      </w:r>
      <w:r w:rsidR="00EF1F34">
        <w:rPr>
          <w:lang w:val="en-US"/>
        </w:rPr>
        <w:t>)</w:t>
      </w:r>
      <w:r w:rsidR="00AF7F93">
        <w:rPr>
          <w:lang w:val="en-US"/>
        </w:rPr>
        <w:t xml:space="preserve">. </w:t>
      </w:r>
    </w:p>
    <w:p w14:paraId="0138130F" w14:textId="29B991DF" w:rsidR="006A41D1" w:rsidRPr="00417904" w:rsidRDefault="00AF7F93" w:rsidP="00DC4542">
      <w:pPr>
        <w:spacing w:line="480" w:lineRule="auto"/>
        <w:jc w:val="both"/>
        <w:rPr>
          <w:lang w:val="en-US"/>
        </w:rPr>
      </w:pPr>
      <w:r>
        <w:rPr>
          <w:lang w:val="en-US"/>
        </w:rPr>
        <w:t>A control run using the fluorescent dye</w:t>
      </w:r>
      <w:r w:rsidR="00955ED4">
        <w:rPr>
          <w:lang w:val="en-US"/>
        </w:rPr>
        <w:t xml:space="preserve"> from the</w:t>
      </w:r>
      <w:r w:rsidR="00B26CB3">
        <w:rPr>
          <w:lang w:val="en-US"/>
        </w:rPr>
        <w:t xml:space="preserve"> protein</w:t>
      </w:r>
      <w:r w:rsidR="00955ED4">
        <w:rPr>
          <w:lang w:val="en-US"/>
        </w:rPr>
        <w:t xml:space="preserve"> labeling kit</w:t>
      </w:r>
      <w:r>
        <w:rPr>
          <w:lang w:val="en-US"/>
        </w:rPr>
        <w:t xml:space="preserve"> as target showed no dose response</w:t>
      </w:r>
      <w:r w:rsidR="000B02D2">
        <w:rPr>
          <w:lang w:val="en-US"/>
        </w:rPr>
        <w:t>.</w:t>
      </w:r>
      <w:r w:rsidR="001D6858">
        <w:rPr>
          <w:lang w:val="en-US"/>
        </w:rPr>
        <w:t xml:space="preserve"> </w:t>
      </w:r>
      <w:r w:rsidR="00631846">
        <w:rPr>
          <w:lang w:val="en-US"/>
        </w:rPr>
        <w:t xml:space="preserve">For </w:t>
      </w:r>
      <w:r w:rsidR="009E38D9" w:rsidRPr="00DC4542">
        <w:rPr>
          <w:lang w:val="en-US"/>
        </w:rPr>
        <w:t>A</w:t>
      </w:r>
      <w:r w:rsidR="00631846">
        <w:rPr>
          <w:lang w:val="en-US"/>
        </w:rPr>
        <w:t>, a</w:t>
      </w:r>
      <w:r w:rsidR="000B02D2">
        <w:rPr>
          <w:lang w:val="en-US"/>
        </w:rPr>
        <w:t xml:space="preserve"> dissociation constant of 108 µM </w:t>
      </w:r>
      <w:bookmarkStart w:id="3" w:name="OLE_LINK3"/>
      <w:r w:rsidR="000B02D2" w:rsidRPr="00DC4542">
        <w:rPr>
          <w:lang w:val="en-US"/>
        </w:rPr>
        <w:t>±</w:t>
      </w:r>
      <w:bookmarkEnd w:id="3"/>
      <w:r w:rsidR="000B02D2">
        <w:rPr>
          <w:lang w:val="en-US"/>
        </w:rPr>
        <w:t xml:space="preserve"> 24 µM </w:t>
      </w:r>
      <w:r w:rsidR="00213978">
        <w:rPr>
          <w:lang w:val="en-US"/>
        </w:rPr>
        <w:t xml:space="preserve">was determined, </w:t>
      </w:r>
      <w:r w:rsidR="000B02D2">
        <w:rPr>
          <w:lang w:val="en-US"/>
        </w:rPr>
        <w:t xml:space="preserve">which corresponds to a free energy of binding of -5.44 </w:t>
      </w:r>
      <w:r w:rsidR="000B02D2" w:rsidRPr="00DC4542">
        <w:rPr>
          <w:lang w:val="en-US"/>
        </w:rPr>
        <w:t>± 0.1</w:t>
      </w:r>
      <w:r w:rsidR="0040195D" w:rsidRPr="00DC4542">
        <w:rPr>
          <w:lang w:val="en-US"/>
        </w:rPr>
        <w:t>3</w:t>
      </w:r>
      <w:r w:rsidR="000B02D2" w:rsidRPr="00DC4542">
        <w:rPr>
          <w:lang w:val="en-US"/>
        </w:rPr>
        <w:t xml:space="preserve"> kcal/mol.</w:t>
      </w:r>
      <w:r w:rsidR="006F76C2" w:rsidRPr="00DC4542">
        <w:rPr>
          <w:lang w:val="en-US"/>
        </w:rPr>
        <w:t xml:space="preserve"> The free energy of binding calculated by the APR-US method</w:t>
      </w:r>
      <w:r w:rsidR="00A2520E" w:rsidRPr="00DC4542">
        <w:rPr>
          <w:lang w:val="en-US"/>
        </w:rPr>
        <w:t xml:space="preserve"> however</w:t>
      </w:r>
      <w:r w:rsidR="001C0445" w:rsidRPr="00DC4542">
        <w:rPr>
          <w:lang w:val="en-US"/>
        </w:rPr>
        <w:t xml:space="preserve"> was found to be</w:t>
      </w:r>
      <w:r w:rsidR="00A2520E" w:rsidRPr="00DC4542">
        <w:rPr>
          <w:lang w:val="en-US"/>
        </w:rPr>
        <w:t xml:space="preserve"> below the measured energy</w:t>
      </w:r>
      <w:r w:rsidR="00DC4542">
        <w:rPr>
          <w:lang w:val="en-US"/>
        </w:rPr>
        <w:t xml:space="preserve"> (</w:t>
      </w:r>
      <w:r w:rsidR="00DC4542">
        <w:rPr>
          <w:lang w:val="en-US"/>
        </w:rPr>
        <w:fldChar w:fldCharType="begin"/>
      </w:r>
      <w:r w:rsidR="00DC4542">
        <w:rPr>
          <w:lang w:val="en-US"/>
        </w:rPr>
        <w:instrText xml:space="preserve"> REF _Ref449415 \h </w:instrText>
      </w:r>
      <w:r w:rsidR="00DC4542">
        <w:rPr>
          <w:lang w:val="en-US"/>
        </w:rPr>
      </w:r>
      <w:r w:rsidR="00DC4542">
        <w:rPr>
          <w:lang w:val="en-US"/>
        </w:rPr>
        <w:fldChar w:fldCharType="separate"/>
      </w:r>
      <w:r w:rsidR="00941055" w:rsidRPr="00E15D14">
        <w:rPr>
          <w:lang w:val="en-US"/>
        </w:rPr>
        <w:t xml:space="preserve">Figure </w:t>
      </w:r>
      <w:r w:rsidR="00941055">
        <w:rPr>
          <w:noProof/>
          <w:lang w:val="en-US"/>
        </w:rPr>
        <w:t>3</w:t>
      </w:r>
      <w:r w:rsidR="00DC4542">
        <w:rPr>
          <w:lang w:val="en-US"/>
        </w:rPr>
        <w:fldChar w:fldCharType="end"/>
      </w:r>
      <w:r w:rsidR="00DC4542">
        <w:rPr>
          <w:lang w:val="en-US"/>
        </w:rPr>
        <w:t>)</w:t>
      </w:r>
      <w:r w:rsidR="0016586C" w:rsidRPr="00DC4542">
        <w:rPr>
          <w:lang w:val="en-US"/>
        </w:rPr>
        <w:t>.</w:t>
      </w:r>
    </w:p>
    <w:p w14:paraId="5F6ED4F8" w14:textId="77777777" w:rsidR="002A43BC" w:rsidRDefault="002A43BC" w:rsidP="00A129E5">
      <w:pPr>
        <w:spacing w:line="480" w:lineRule="auto"/>
        <w:rPr>
          <w:i/>
          <w:u w:val="single"/>
          <w:lang w:val="en-US"/>
        </w:rPr>
      </w:pPr>
      <w:r>
        <w:rPr>
          <w:i/>
          <w:u w:val="single"/>
          <w:lang w:val="en-US"/>
        </w:rPr>
        <w:t>Protein self-interaction</w:t>
      </w:r>
    </w:p>
    <w:p w14:paraId="39ED1173" w14:textId="2A8F8939" w:rsidR="002A43BC" w:rsidRPr="00C7037E" w:rsidRDefault="002A43BC" w:rsidP="00A129E5">
      <w:pPr>
        <w:spacing w:line="480" w:lineRule="auto"/>
        <w:jc w:val="both"/>
        <w:rPr>
          <w:lang w:val="en-US"/>
        </w:rPr>
      </w:pPr>
      <w:r>
        <w:rPr>
          <w:lang w:val="en-US"/>
        </w:rPr>
        <w:t>The apparent molecular weight (M</w:t>
      </w:r>
      <w:r w:rsidRPr="00C7037E">
        <w:rPr>
          <w:vertAlign w:val="subscript"/>
          <w:lang w:val="en-US"/>
        </w:rPr>
        <w:t>w</w:t>
      </w:r>
      <w:r>
        <w:rPr>
          <w:lang w:val="en-US"/>
        </w:rPr>
        <w:t>)</w:t>
      </w:r>
      <w:r w:rsidR="00DB5D0B">
        <w:rPr>
          <w:lang w:val="en-US"/>
        </w:rPr>
        <w:t xml:space="preserve"> of IFN was measured</w:t>
      </w:r>
      <w:r w:rsidR="00C7037E">
        <w:rPr>
          <w:lang w:val="en-US"/>
        </w:rPr>
        <w:t xml:space="preserve"> in the absence and presen</w:t>
      </w:r>
      <w:r w:rsidR="00AE4149">
        <w:rPr>
          <w:lang w:val="en-US"/>
        </w:rPr>
        <w:t>ce</w:t>
      </w:r>
      <w:r w:rsidR="00C7037E">
        <w:rPr>
          <w:lang w:val="en-US"/>
        </w:rPr>
        <w:t xml:space="preserve"> of </w:t>
      </w:r>
      <w:r w:rsidR="0062200C">
        <w:rPr>
          <w:lang w:val="en-US"/>
        </w:rPr>
        <w:t xml:space="preserve">compound </w:t>
      </w:r>
      <w:r w:rsidR="00C7037E" w:rsidRPr="00C7037E">
        <w:rPr>
          <w:b/>
          <w:lang w:val="en-US"/>
        </w:rPr>
        <w:t>A</w:t>
      </w:r>
      <w:r w:rsidR="00C7037E">
        <w:rPr>
          <w:lang w:val="en-US"/>
        </w:rPr>
        <w:t xml:space="preserve"> using static light scattering (SLS). As expected from the choice of pH and ionic strange, IFN forms </w:t>
      </w:r>
      <w:r w:rsidR="0062200C">
        <w:rPr>
          <w:lang w:val="en-US"/>
        </w:rPr>
        <w:t>aggregates</w:t>
      </w:r>
      <w:r w:rsidR="00C7037E">
        <w:rPr>
          <w:lang w:val="en-US"/>
        </w:rPr>
        <w:t xml:space="preserve"> in solution. While the </w:t>
      </w:r>
      <w:r w:rsidR="0062200C">
        <w:rPr>
          <w:lang w:val="en-US"/>
        </w:rPr>
        <w:t>aggregation</w:t>
      </w:r>
      <w:r w:rsidR="00C7037E">
        <w:rPr>
          <w:lang w:val="en-US"/>
        </w:rPr>
        <w:t xml:space="preserve"> is concentration dependent for low IFN concentrations, a plateau is reached at approximately 6 mg/ml. Even though the presence of </w:t>
      </w:r>
      <w:r w:rsidR="0062200C">
        <w:rPr>
          <w:lang w:val="en-US"/>
        </w:rPr>
        <w:t>c</w:t>
      </w:r>
      <w:r w:rsidR="0062200C" w:rsidRPr="0062200C">
        <w:rPr>
          <w:lang w:val="en-US"/>
        </w:rPr>
        <w:t>ompound</w:t>
      </w:r>
      <w:r w:rsidR="0062200C">
        <w:rPr>
          <w:lang w:val="en-US"/>
        </w:rPr>
        <w:t xml:space="preserve"> </w:t>
      </w:r>
      <w:r w:rsidR="00C7037E" w:rsidRPr="00C7037E">
        <w:rPr>
          <w:b/>
          <w:lang w:val="en-US"/>
        </w:rPr>
        <w:t>A</w:t>
      </w:r>
      <w:r w:rsidR="00C7037E">
        <w:rPr>
          <w:b/>
          <w:lang w:val="en-US"/>
        </w:rPr>
        <w:t xml:space="preserve"> </w:t>
      </w:r>
      <w:r w:rsidR="00C7037E">
        <w:rPr>
          <w:lang w:val="en-US"/>
        </w:rPr>
        <w:t xml:space="preserve">leads to </w:t>
      </w:r>
      <w:r w:rsidR="00F05B1A">
        <w:rPr>
          <w:lang w:val="en-US"/>
        </w:rPr>
        <w:t xml:space="preserve">significant </w:t>
      </w:r>
      <w:r w:rsidR="00C7037E">
        <w:rPr>
          <w:lang w:val="en-US"/>
        </w:rPr>
        <w:t>reductions in M</w:t>
      </w:r>
      <w:r w:rsidR="00C7037E" w:rsidRPr="00C7037E">
        <w:rPr>
          <w:vertAlign w:val="subscript"/>
          <w:lang w:val="en-US"/>
        </w:rPr>
        <w:t>w</w:t>
      </w:r>
      <w:r w:rsidR="00C7037E">
        <w:rPr>
          <w:vertAlign w:val="subscript"/>
          <w:lang w:val="en-US"/>
        </w:rPr>
        <w:t xml:space="preserve"> </w:t>
      </w:r>
      <w:r w:rsidR="00C7037E">
        <w:rPr>
          <w:lang w:val="en-US"/>
        </w:rPr>
        <w:t>(</w:t>
      </w:r>
      <w:r w:rsidR="00BB34B1">
        <w:rPr>
          <w:lang w:val="en-US"/>
        </w:rPr>
        <w:t>Figure S-1</w:t>
      </w:r>
      <w:r w:rsidR="00C7037E">
        <w:rPr>
          <w:lang w:val="en-US"/>
        </w:rPr>
        <w:t>) it does not</w:t>
      </w:r>
      <w:r w:rsidR="005413C6">
        <w:rPr>
          <w:lang w:val="en-US"/>
        </w:rPr>
        <w:t xml:space="preserve"> quantitively</w:t>
      </w:r>
      <w:r w:rsidR="00C7037E">
        <w:rPr>
          <w:lang w:val="en-US"/>
        </w:rPr>
        <w:t xml:space="preserve"> break up </w:t>
      </w:r>
      <w:r w:rsidR="00B955AB">
        <w:rPr>
          <w:lang w:val="en-US"/>
        </w:rPr>
        <w:t>aggregates</w:t>
      </w:r>
      <w:r w:rsidR="00C7037E">
        <w:rPr>
          <w:lang w:val="en-US"/>
        </w:rPr>
        <w:t>.</w:t>
      </w:r>
    </w:p>
    <w:p w14:paraId="1B0AC2A5" w14:textId="0CE156E0" w:rsidR="002A43BC" w:rsidRPr="002A43BC" w:rsidRDefault="002A43BC" w:rsidP="00F13BDE">
      <w:pPr>
        <w:keepNext/>
        <w:spacing w:line="480" w:lineRule="auto"/>
        <w:jc w:val="center"/>
        <w:rPr>
          <w:lang w:val="en-US"/>
        </w:rPr>
      </w:pPr>
      <w:r w:rsidRPr="002A43B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6D9E506" w14:textId="77777777" w:rsidR="002B4A1E" w:rsidRDefault="00034A84" w:rsidP="00A129E5">
      <w:pPr>
        <w:spacing w:line="480" w:lineRule="auto"/>
        <w:rPr>
          <w:i/>
          <w:u w:val="single"/>
          <w:lang w:val="en-US"/>
        </w:rPr>
      </w:pPr>
      <w:r>
        <w:rPr>
          <w:i/>
          <w:u w:val="single"/>
          <w:lang w:val="en-US"/>
        </w:rPr>
        <w:t>Forced degradation</w:t>
      </w:r>
      <w:r w:rsidR="002B4A1E">
        <w:rPr>
          <w:i/>
          <w:u w:val="single"/>
          <w:lang w:val="en-US"/>
        </w:rPr>
        <w:t xml:space="preserve"> stud</w:t>
      </w:r>
      <w:r>
        <w:rPr>
          <w:i/>
          <w:u w:val="single"/>
          <w:lang w:val="en-US"/>
        </w:rPr>
        <w:t>ies</w:t>
      </w:r>
    </w:p>
    <w:p w14:paraId="7033C9AE" w14:textId="52CB57C2" w:rsidR="001B190F" w:rsidRPr="001B190F" w:rsidRDefault="0098742A" w:rsidP="0016708B">
      <w:pPr>
        <w:spacing w:line="480" w:lineRule="auto"/>
        <w:jc w:val="both"/>
        <w:rPr>
          <w:lang w:val="en-US"/>
        </w:rPr>
      </w:pPr>
      <w:r w:rsidRPr="0098742A">
        <w:rPr>
          <w:lang w:val="en-US"/>
        </w:rPr>
        <w:t xml:space="preserve">In order to assess how </w:t>
      </w:r>
      <w:r>
        <w:rPr>
          <w:lang w:val="en-US"/>
        </w:rPr>
        <w:t xml:space="preserve">the </w:t>
      </w:r>
      <w:r w:rsidR="003865D5">
        <w:rPr>
          <w:lang w:val="en-US"/>
        </w:rPr>
        <w:t>compounds,</w:t>
      </w:r>
      <w:r>
        <w:rPr>
          <w:lang w:val="en-US"/>
        </w:rPr>
        <w:t xml:space="preserve"> </w:t>
      </w:r>
      <w:r w:rsidRPr="0098742A">
        <w:rPr>
          <w:lang w:val="en-US"/>
        </w:rPr>
        <w:t xml:space="preserve">influence the formation of particles, </w:t>
      </w:r>
      <w:r>
        <w:rPr>
          <w:lang w:val="en-US"/>
        </w:rPr>
        <w:t>aggregation of IFN was induced in forced degradation experiments.</w:t>
      </w:r>
      <w:r w:rsidRPr="0098742A">
        <w:rPr>
          <w:lang w:val="en-US"/>
        </w:rPr>
        <w:t xml:space="preserve"> </w:t>
      </w:r>
      <w:r w:rsidR="001B190F">
        <w:rPr>
          <w:lang w:val="en-US"/>
        </w:rPr>
        <w:t>Sub-visible particles and soluble aggregates were quantified after three freeze-thaw cycles</w:t>
      </w:r>
      <w:r w:rsidR="006064E5">
        <w:rPr>
          <w:lang w:val="en-US"/>
        </w:rPr>
        <w:t xml:space="preserve"> with</w:t>
      </w:r>
      <w:r w:rsidR="00F146E5">
        <w:rPr>
          <w:lang w:val="en-US"/>
        </w:rPr>
        <w:t xml:space="preserve"> the</w:t>
      </w:r>
      <w:r w:rsidR="006064E5">
        <w:rPr>
          <w:lang w:val="en-US"/>
        </w:rPr>
        <w:t xml:space="preserve"> </w:t>
      </w:r>
      <w:r w:rsidR="00623C2D">
        <w:rPr>
          <w:lang w:val="en-US"/>
        </w:rPr>
        <w:t xml:space="preserve">5 </w:t>
      </w:r>
      <w:r w:rsidR="006064E5">
        <w:rPr>
          <w:lang w:val="en-US"/>
        </w:rPr>
        <w:t xml:space="preserve">formulations containing </w:t>
      </w:r>
      <w:r w:rsidR="00623C2D">
        <w:rPr>
          <w:lang w:val="en-US"/>
        </w:rPr>
        <w:t>five different</w:t>
      </w:r>
      <w:r w:rsidR="006064E5">
        <w:rPr>
          <w:lang w:val="en-US"/>
        </w:rPr>
        <w:t xml:space="preserve"> excipients obtained from the virtual screen</w:t>
      </w:r>
      <w:r w:rsidR="001B190F">
        <w:rPr>
          <w:lang w:val="en-US"/>
        </w:rPr>
        <w:t>.</w:t>
      </w:r>
      <w:r w:rsidR="006064E5">
        <w:rPr>
          <w:lang w:val="en-US"/>
        </w:rPr>
        <w:t xml:space="preserve"> </w:t>
      </w:r>
      <w:r w:rsidR="00F146E5">
        <w:rPr>
          <w:lang w:val="en-US"/>
        </w:rPr>
        <w:t xml:space="preserve">Additionally, a negative control was run containing only protein and buffer, but no other stabilizing agent. The </w:t>
      </w:r>
      <w:r w:rsidR="009E38D9">
        <w:rPr>
          <w:lang w:val="en-US"/>
        </w:rPr>
        <w:t>only compound to significantly r</w:t>
      </w:r>
      <w:r w:rsidR="00F146E5">
        <w:rPr>
          <w:lang w:val="en-US"/>
        </w:rPr>
        <w:t>educ</w:t>
      </w:r>
      <w:r w:rsidR="009E38D9">
        <w:rPr>
          <w:lang w:val="en-US"/>
        </w:rPr>
        <w:t>e</w:t>
      </w:r>
      <w:r w:rsidR="00F146E5">
        <w:rPr>
          <w:lang w:val="en-US"/>
        </w:rPr>
        <w:t xml:space="preserve"> both</w:t>
      </w:r>
      <w:r w:rsidR="00D55879">
        <w:rPr>
          <w:lang w:val="en-US"/>
        </w:rPr>
        <w:t xml:space="preserve"> the formation of</w:t>
      </w:r>
      <w:r w:rsidR="00F146E5">
        <w:rPr>
          <w:lang w:val="en-US"/>
        </w:rPr>
        <w:t xml:space="preserve"> </w:t>
      </w:r>
      <w:r w:rsidR="00D55879">
        <w:rPr>
          <w:lang w:val="en-US"/>
        </w:rPr>
        <w:t>soluble aggregates and sub-visible particles</w:t>
      </w:r>
      <w:r w:rsidR="009E38D9">
        <w:rPr>
          <w:lang w:val="en-US"/>
        </w:rPr>
        <w:t xml:space="preserve"> was found to be </w:t>
      </w:r>
      <w:r w:rsidR="0062200C" w:rsidRPr="0062200C">
        <w:rPr>
          <w:lang w:val="en-US"/>
        </w:rPr>
        <w:t>compound</w:t>
      </w:r>
      <w:r w:rsidR="0062200C">
        <w:rPr>
          <w:lang w:val="en-US"/>
        </w:rPr>
        <w:t xml:space="preserve"> </w:t>
      </w:r>
      <w:r w:rsidR="009E38D9" w:rsidRPr="009E38D9">
        <w:rPr>
          <w:b/>
          <w:lang w:val="en-US"/>
        </w:rPr>
        <w:t>A</w:t>
      </w:r>
      <w:r w:rsidR="00F146E5">
        <w:rPr>
          <w:lang w:val="en-US"/>
        </w:rPr>
        <w:t xml:space="preserve">. </w:t>
      </w:r>
      <w:r w:rsidR="00D55879">
        <w:rPr>
          <w:lang w:val="en-US"/>
        </w:rPr>
        <w:t xml:space="preserve">While </w:t>
      </w:r>
      <w:r w:rsidR="00F146E5">
        <w:rPr>
          <w:lang w:val="en-US"/>
        </w:rPr>
        <w:t>compounds</w:t>
      </w:r>
      <w:r w:rsidR="009E38D9">
        <w:rPr>
          <w:lang w:val="en-US"/>
        </w:rPr>
        <w:t xml:space="preserve"> </w:t>
      </w:r>
      <w:r w:rsidR="009E38D9" w:rsidRPr="009E38D9">
        <w:rPr>
          <w:b/>
          <w:lang w:val="en-US"/>
        </w:rPr>
        <w:t>B</w:t>
      </w:r>
      <w:r w:rsidR="009E38D9">
        <w:rPr>
          <w:lang w:val="en-US"/>
        </w:rPr>
        <w:t xml:space="preserve"> and </w:t>
      </w:r>
      <w:r w:rsidR="009E38D9" w:rsidRPr="009E38D9">
        <w:rPr>
          <w:b/>
          <w:lang w:val="en-US"/>
        </w:rPr>
        <w:t>C</w:t>
      </w:r>
      <w:r w:rsidR="00F146E5">
        <w:rPr>
          <w:lang w:val="en-US"/>
        </w:rPr>
        <w:t xml:space="preserve"> would</w:t>
      </w:r>
      <w:r w:rsidR="002A2A21">
        <w:rPr>
          <w:lang w:val="en-US"/>
        </w:rPr>
        <w:t xml:space="preserve"> </w:t>
      </w:r>
      <w:r w:rsidR="00D55879">
        <w:rPr>
          <w:lang w:val="en-US"/>
        </w:rPr>
        <w:t>slightly</w:t>
      </w:r>
      <w:r w:rsidR="00F146E5">
        <w:rPr>
          <w:lang w:val="en-US"/>
        </w:rPr>
        <w:t xml:space="preserve"> reduce soluble aggregate</w:t>
      </w:r>
      <w:r w:rsidR="00D55879">
        <w:rPr>
          <w:lang w:val="en-US"/>
        </w:rPr>
        <w:t xml:space="preserve"> formation</w:t>
      </w:r>
      <w:r w:rsidR="002A2A21">
        <w:rPr>
          <w:lang w:val="en-US"/>
        </w:rPr>
        <w:t xml:space="preserve">, they </w:t>
      </w:r>
      <w:r w:rsidR="00F146E5">
        <w:rPr>
          <w:lang w:val="en-US"/>
        </w:rPr>
        <w:t>show</w:t>
      </w:r>
      <w:r w:rsidR="00D55879">
        <w:rPr>
          <w:lang w:val="en-US"/>
        </w:rPr>
        <w:t>ed</w:t>
      </w:r>
      <w:r w:rsidR="00F146E5">
        <w:rPr>
          <w:lang w:val="en-US"/>
        </w:rPr>
        <w:t xml:space="preserve"> </w:t>
      </w:r>
      <w:r w:rsidR="002A2A21">
        <w:rPr>
          <w:lang w:val="en-US"/>
        </w:rPr>
        <w:t>no</w:t>
      </w:r>
      <w:r w:rsidR="00F146E5">
        <w:rPr>
          <w:lang w:val="en-US"/>
        </w:rPr>
        <w:t xml:space="preserve"> benefit on sub-visible particle count</w:t>
      </w:r>
      <w:r w:rsidR="002A2A21">
        <w:rPr>
          <w:lang w:val="en-US"/>
        </w:rPr>
        <w:t xml:space="preserve"> compared to the </w:t>
      </w:r>
      <w:r w:rsidR="009E38D9">
        <w:rPr>
          <w:lang w:val="en-US"/>
        </w:rPr>
        <w:t xml:space="preserve">excipient free </w:t>
      </w:r>
      <w:r w:rsidR="002A2A21">
        <w:rPr>
          <w:lang w:val="en-US"/>
        </w:rPr>
        <w:t>control</w:t>
      </w:r>
      <w:r w:rsidR="00F57C5D">
        <w:rPr>
          <w:lang w:val="en-US"/>
        </w:rPr>
        <w:t xml:space="preserve"> (</w:t>
      </w:r>
      <w:r w:rsidR="00171B9A">
        <w:rPr>
          <w:lang w:val="en-US"/>
        </w:rPr>
        <w:fldChar w:fldCharType="begin"/>
      </w:r>
      <w:r w:rsidR="00171B9A">
        <w:rPr>
          <w:lang w:val="en-US"/>
        </w:rPr>
        <w:instrText xml:space="preserve"> REF _Ref449664 \h </w:instrText>
      </w:r>
      <w:r w:rsidR="00171B9A">
        <w:rPr>
          <w:lang w:val="en-US"/>
        </w:rPr>
      </w:r>
      <w:r w:rsidR="00171B9A">
        <w:rPr>
          <w:lang w:val="en-US"/>
        </w:rPr>
        <w:fldChar w:fldCharType="separate"/>
      </w:r>
      <w:r w:rsidR="00941055" w:rsidRPr="00997610">
        <w:rPr>
          <w:lang w:val="en-US"/>
        </w:rPr>
        <w:t xml:space="preserve">Figure </w:t>
      </w:r>
      <w:r w:rsidR="00941055">
        <w:rPr>
          <w:noProof/>
          <w:lang w:val="en-US"/>
        </w:rPr>
        <w:t>4</w:t>
      </w:r>
      <w:r w:rsidR="00171B9A">
        <w:rPr>
          <w:lang w:val="en-US"/>
        </w:rPr>
        <w:fldChar w:fldCharType="end"/>
      </w:r>
      <w:r w:rsidR="00F57C5D">
        <w:rPr>
          <w:lang w:val="en-US"/>
        </w:rPr>
        <w:t>)</w:t>
      </w:r>
      <w:r w:rsidR="00F146E5">
        <w:rPr>
          <w:lang w:val="en-US"/>
        </w:rPr>
        <w:t>.</w:t>
      </w:r>
    </w:p>
    <w:p w14:paraId="026CDCF6" w14:textId="736024DA" w:rsidR="00260814" w:rsidRDefault="0093766F" w:rsidP="0016708B">
      <w:pPr>
        <w:spacing w:line="480" w:lineRule="auto"/>
        <w:jc w:val="both"/>
        <w:rPr>
          <w:lang w:val="en-US"/>
        </w:rPr>
      </w:pPr>
      <w:r>
        <w:rPr>
          <w:lang w:val="en-US"/>
        </w:rPr>
        <w:lastRenderedPageBreak/>
        <w:t xml:space="preserve">In </w:t>
      </w:r>
      <w:r w:rsidR="00FE672F">
        <w:rPr>
          <w:lang w:val="en-US"/>
        </w:rPr>
        <w:t>the</w:t>
      </w:r>
      <w:r>
        <w:rPr>
          <w:lang w:val="en-US"/>
        </w:rPr>
        <w:t xml:space="preserve"> next step, </w:t>
      </w:r>
      <w:r w:rsidR="00075DD3">
        <w:rPr>
          <w:lang w:val="en-US"/>
        </w:rPr>
        <w:t>IFN was exposed to horizontal shaking stress at different concentrations of</w:t>
      </w:r>
      <w:r w:rsidR="0062200C">
        <w:rPr>
          <w:lang w:val="en-US"/>
        </w:rPr>
        <w:t xml:space="preserve"> compound</w:t>
      </w:r>
      <w:r w:rsidR="00075DD3">
        <w:rPr>
          <w:lang w:val="en-US"/>
        </w:rPr>
        <w:t xml:space="preserve"> </w:t>
      </w:r>
      <w:r w:rsidR="009E38D9" w:rsidRPr="00AC5CAB">
        <w:rPr>
          <w:b/>
          <w:lang w:val="en-US"/>
        </w:rPr>
        <w:t>A</w:t>
      </w:r>
      <w:r w:rsidR="00075DD3">
        <w:rPr>
          <w:lang w:val="en-US"/>
        </w:rPr>
        <w:t xml:space="preserve">. </w:t>
      </w:r>
      <w:r w:rsidR="00C812D0">
        <w:rPr>
          <w:lang w:val="en-US"/>
        </w:rPr>
        <w:t>T</w:t>
      </w:r>
      <w:r w:rsidR="00075DD3">
        <w:rPr>
          <w:lang w:val="en-US"/>
        </w:rPr>
        <w:t>he</w:t>
      </w:r>
      <w:r w:rsidR="00260814">
        <w:rPr>
          <w:lang w:val="en-US"/>
        </w:rPr>
        <w:t xml:space="preserve"> ligand</w:t>
      </w:r>
      <w:r w:rsidR="00D55879">
        <w:rPr>
          <w:lang w:val="en-US"/>
        </w:rPr>
        <w:t>’</w:t>
      </w:r>
      <w:r w:rsidR="00260814">
        <w:rPr>
          <w:lang w:val="en-US"/>
        </w:rPr>
        <w:t xml:space="preserve">s concentration range was chosen according to the previously determined </w:t>
      </w:r>
      <w:r w:rsidR="00677C92">
        <w:rPr>
          <w:lang w:val="en-US"/>
        </w:rPr>
        <w:t>dissociation constant</w:t>
      </w:r>
      <w:r w:rsidR="00260814">
        <w:rPr>
          <w:lang w:val="en-US"/>
        </w:rPr>
        <w:t xml:space="preserve">. </w:t>
      </w:r>
      <w:r w:rsidR="00FE672F">
        <w:rPr>
          <w:lang w:val="en-US"/>
        </w:rPr>
        <w:t>The f</w:t>
      </w:r>
      <w:r w:rsidR="00075DD3">
        <w:rPr>
          <w:lang w:val="en-US"/>
        </w:rPr>
        <w:t>ormation of sub-visible particles</w:t>
      </w:r>
      <w:r w:rsidR="00C812D0">
        <w:rPr>
          <w:lang w:val="en-US"/>
        </w:rPr>
        <w:t xml:space="preserve"> shows a strong dose response</w:t>
      </w:r>
      <w:r w:rsidR="00260814">
        <w:rPr>
          <w:lang w:val="en-US"/>
        </w:rPr>
        <w:t xml:space="preserve">. At high ligand concentrations, where all protein molecules are bound to </w:t>
      </w:r>
      <w:r w:rsidR="009E38D9" w:rsidRPr="008F263C">
        <w:rPr>
          <w:b/>
          <w:lang w:val="en-US"/>
        </w:rPr>
        <w:t>A</w:t>
      </w:r>
      <w:r w:rsidR="00260814">
        <w:rPr>
          <w:lang w:val="en-US"/>
        </w:rPr>
        <w:t xml:space="preserve">, sub-visible particle formation is at a minimum. With decreasing ligand concentration, the </w:t>
      </w:r>
      <w:r w:rsidR="00061BF3">
        <w:rPr>
          <w:lang w:val="en-US"/>
        </w:rPr>
        <w:t>share</w:t>
      </w:r>
      <w:r w:rsidR="00260814">
        <w:rPr>
          <w:lang w:val="en-US"/>
        </w:rPr>
        <w:t xml:space="preserve"> of unbound protein increases and </w:t>
      </w:r>
      <w:r w:rsidR="0003359F">
        <w:rPr>
          <w:lang w:val="en-US"/>
        </w:rPr>
        <w:t xml:space="preserve">an </w:t>
      </w:r>
      <w:r w:rsidR="00260814">
        <w:rPr>
          <w:lang w:val="en-US"/>
        </w:rPr>
        <w:t>increase in sub-visible particles is observed</w:t>
      </w:r>
      <w:r w:rsidR="00623C2D">
        <w:rPr>
          <w:lang w:val="en-US"/>
        </w:rPr>
        <w:t xml:space="preserve"> (</w:t>
      </w:r>
      <w:r w:rsidR="00171B9A">
        <w:rPr>
          <w:lang w:val="en-US"/>
        </w:rPr>
        <w:fldChar w:fldCharType="begin"/>
      </w:r>
      <w:r w:rsidR="00171B9A">
        <w:rPr>
          <w:lang w:val="en-US"/>
        </w:rPr>
        <w:instrText xml:space="preserve"> REF _Ref449664 \h </w:instrText>
      </w:r>
      <w:r w:rsidR="00171B9A">
        <w:rPr>
          <w:lang w:val="en-US"/>
        </w:rPr>
      </w:r>
      <w:r w:rsidR="00171B9A">
        <w:rPr>
          <w:lang w:val="en-US"/>
        </w:rPr>
        <w:fldChar w:fldCharType="separate"/>
      </w:r>
      <w:r w:rsidR="00941055" w:rsidRPr="00997610">
        <w:rPr>
          <w:lang w:val="en-US"/>
        </w:rPr>
        <w:t xml:space="preserve">Figure </w:t>
      </w:r>
      <w:r w:rsidR="00941055">
        <w:rPr>
          <w:noProof/>
          <w:lang w:val="en-US"/>
        </w:rPr>
        <w:t>4</w:t>
      </w:r>
      <w:r w:rsidR="00171B9A">
        <w:rPr>
          <w:lang w:val="en-US"/>
        </w:rPr>
        <w:fldChar w:fldCharType="end"/>
      </w:r>
      <w:r w:rsidR="00623C2D">
        <w:rPr>
          <w:lang w:val="en-US"/>
        </w:rPr>
        <w:t>)</w:t>
      </w:r>
      <w:r w:rsidR="00075DD3">
        <w:rPr>
          <w:lang w:val="en-US"/>
        </w:rPr>
        <w:t xml:space="preserve">. </w:t>
      </w:r>
    </w:p>
    <w:p w14:paraId="25656804" w14:textId="655DA048" w:rsidR="00F342BB" w:rsidRPr="00B84212" w:rsidRDefault="0003359F" w:rsidP="0016708B">
      <w:pPr>
        <w:spacing w:line="480" w:lineRule="auto"/>
        <w:jc w:val="both"/>
        <w:rPr>
          <w:lang w:val="en-US"/>
        </w:rPr>
      </w:pPr>
      <w:r>
        <w:rPr>
          <w:lang w:val="en-US"/>
        </w:rPr>
        <w:t>As</w:t>
      </w:r>
      <w:r w:rsidR="00FE672F">
        <w:rPr>
          <w:lang w:val="en-US"/>
        </w:rPr>
        <w:t xml:space="preserve"> a</w:t>
      </w:r>
      <w:r>
        <w:rPr>
          <w:lang w:val="en-US"/>
        </w:rPr>
        <w:t xml:space="preserve"> benchmark test, </w:t>
      </w:r>
      <w:r w:rsidR="0062200C">
        <w:rPr>
          <w:lang w:val="en-US"/>
        </w:rPr>
        <w:t xml:space="preserve">compound </w:t>
      </w:r>
      <w:r w:rsidR="001A5F6E" w:rsidRPr="001A5F6E">
        <w:rPr>
          <w:b/>
          <w:lang w:val="en-US"/>
        </w:rPr>
        <w:t>A</w:t>
      </w:r>
      <w:r>
        <w:rPr>
          <w:lang w:val="en-US"/>
        </w:rPr>
        <w:t xml:space="preserve"> was compared to the</w:t>
      </w:r>
      <w:r w:rsidR="00260814">
        <w:rPr>
          <w:lang w:val="en-US"/>
        </w:rPr>
        <w:t xml:space="preserve"> standard excipients L-</w:t>
      </w:r>
      <w:r w:rsidR="001A5F6E">
        <w:rPr>
          <w:lang w:val="en-US"/>
        </w:rPr>
        <w:t>a</w:t>
      </w:r>
      <w:r w:rsidR="00260814">
        <w:rPr>
          <w:lang w:val="en-US"/>
        </w:rPr>
        <w:t>rginine and D(+)-trehalose</w:t>
      </w:r>
      <w:r w:rsidR="0031444F">
        <w:rPr>
          <w:lang w:val="en-US"/>
        </w:rPr>
        <w:t xml:space="preserve"> at</w:t>
      </w:r>
      <w:r w:rsidR="0021629F">
        <w:rPr>
          <w:lang w:val="en-US"/>
        </w:rPr>
        <w:t xml:space="preserve"> a concentration of</w:t>
      </w:r>
      <w:r w:rsidR="0031444F">
        <w:rPr>
          <w:lang w:val="en-US"/>
        </w:rPr>
        <w:t xml:space="preserve"> </w:t>
      </w:r>
      <w:r w:rsidR="0021629F">
        <w:rPr>
          <w:lang w:val="en-US"/>
        </w:rPr>
        <w:t>6.25 µM</w:t>
      </w:r>
      <w:r>
        <w:rPr>
          <w:lang w:val="en-US"/>
        </w:rPr>
        <w:t>. A</w:t>
      </w:r>
      <w:r w:rsidR="00260814">
        <w:rPr>
          <w:lang w:val="en-US"/>
        </w:rPr>
        <w:t xml:space="preserve">ll three compounds readily reduce the formation of sub-visible particles. However, </w:t>
      </w:r>
      <w:r w:rsidR="0062200C">
        <w:rPr>
          <w:lang w:val="en-US"/>
        </w:rPr>
        <w:t xml:space="preserve">compound </w:t>
      </w:r>
      <w:r w:rsidR="00D15F27" w:rsidRPr="001A5F6E">
        <w:rPr>
          <w:b/>
          <w:lang w:val="en-US"/>
        </w:rPr>
        <w:t>A</w:t>
      </w:r>
      <w:r w:rsidR="00D15F27">
        <w:rPr>
          <w:lang w:val="en-US"/>
        </w:rPr>
        <w:t xml:space="preserve"> </w:t>
      </w:r>
      <w:r w:rsidR="00075DD3">
        <w:rPr>
          <w:lang w:val="en-US"/>
        </w:rPr>
        <w:t xml:space="preserve">shows a </w:t>
      </w:r>
      <w:r w:rsidR="00AB2EA4">
        <w:rPr>
          <w:lang w:val="en-US"/>
        </w:rPr>
        <w:t>lower particle count</w:t>
      </w:r>
      <w:r w:rsidR="00075DD3">
        <w:rPr>
          <w:lang w:val="en-US"/>
        </w:rPr>
        <w:t xml:space="preserve"> than</w:t>
      </w:r>
      <w:r w:rsidR="005E5D34">
        <w:rPr>
          <w:lang w:val="en-US"/>
        </w:rPr>
        <w:t xml:space="preserve"> </w:t>
      </w:r>
      <w:r w:rsidR="000E4E4B">
        <w:rPr>
          <w:lang w:val="en-US"/>
        </w:rPr>
        <w:t xml:space="preserve">the </w:t>
      </w:r>
      <w:r w:rsidR="005E5D34">
        <w:rPr>
          <w:lang w:val="en-US"/>
        </w:rPr>
        <w:t>standard excipients</w:t>
      </w:r>
      <w:r w:rsidR="0016708B">
        <w:rPr>
          <w:lang w:val="en-US"/>
        </w:rPr>
        <w:t xml:space="preserve"> (</w:t>
      </w:r>
      <w:r w:rsidR="001D132E">
        <w:rPr>
          <w:lang w:val="en-US"/>
        </w:rPr>
        <w:fldChar w:fldCharType="begin"/>
      </w:r>
      <w:r w:rsidR="001D132E">
        <w:rPr>
          <w:lang w:val="en-US"/>
        </w:rPr>
        <w:instrText xml:space="preserve"> REF _Ref449664 \h </w:instrText>
      </w:r>
      <w:r w:rsidR="001D132E">
        <w:rPr>
          <w:lang w:val="en-US"/>
        </w:rPr>
      </w:r>
      <w:r w:rsidR="001D132E">
        <w:rPr>
          <w:lang w:val="en-US"/>
        </w:rPr>
        <w:fldChar w:fldCharType="separate"/>
      </w:r>
      <w:r w:rsidR="00941055" w:rsidRPr="00997610">
        <w:rPr>
          <w:lang w:val="en-US"/>
        </w:rPr>
        <w:t xml:space="preserve">Figure </w:t>
      </w:r>
      <w:r w:rsidR="00941055">
        <w:rPr>
          <w:noProof/>
          <w:lang w:val="en-US"/>
        </w:rPr>
        <w:t>4</w:t>
      </w:r>
      <w:r w:rsidR="001D132E">
        <w:rPr>
          <w:lang w:val="en-US"/>
        </w:rPr>
        <w:fldChar w:fldCharType="end"/>
      </w:r>
      <w:r w:rsidR="0016708B">
        <w:rPr>
          <w:lang w:val="en-US"/>
        </w:rPr>
        <w:t>)</w:t>
      </w:r>
      <w:r w:rsidR="00075DD3">
        <w:rPr>
          <w:lang w:val="en-US"/>
        </w:rPr>
        <w:t>.</w:t>
      </w:r>
    </w:p>
    <w:p w14:paraId="57996F86" w14:textId="75A61F72" w:rsidR="001D0284" w:rsidRDefault="00332C6D" w:rsidP="0016708B">
      <w:pPr>
        <w:spacing w:line="480" w:lineRule="auto"/>
        <w:jc w:val="both"/>
        <w:rPr>
          <w:lang w:val="en-US"/>
        </w:rPr>
      </w:pPr>
      <w:r w:rsidRPr="00332C6D">
        <w:rPr>
          <w:lang w:val="en-US"/>
        </w:rPr>
        <w:t xml:space="preserve">In </w:t>
      </w:r>
      <w:r w:rsidR="00F62715">
        <w:rPr>
          <w:lang w:val="en-US"/>
        </w:rPr>
        <w:t>order to rule out that the positive effect of</w:t>
      </w:r>
      <w:r w:rsidR="0062200C">
        <w:rPr>
          <w:lang w:val="en-US"/>
        </w:rPr>
        <w:t xml:space="preserve"> compound</w:t>
      </w:r>
      <w:r w:rsidR="00F62715">
        <w:rPr>
          <w:lang w:val="en-US"/>
        </w:rPr>
        <w:t xml:space="preserve"> </w:t>
      </w:r>
      <w:r w:rsidR="00D15F27" w:rsidRPr="001A5F6E">
        <w:rPr>
          <w:b/>
          <w:lang w:val="en-US"/>
        </w:rPr>
        <w:t>A</w:t>
      </w:r>
      <w:r w:rsidR="00D15F27">
        <w:rPr>
          <w:lang w:val="en-US"/>
        </w:rPr>
        <w:t xml:space="preserve"> </w:t>
      </w:r>
      <w:r w:rsidR="00F62715">
        <w:rPr>
          <w:lang w:val="en-US"/>
        </w:rPr>
        <w:t xml:space="preserve">on the protein’s stability is due to a non-specific effect, </w:t>
      </w:r>
      <w:r w:rsidR="00EA5385">
        <w:rPr>
          <w:lang w:val="en-US"/>
        </w:rPr>
        <w:t>the surface activity</w:t>
      </w:r>
      <w:r w:rsidR="00450D39">
        <w:rPr>
          <w:lang w:val="en-US"/>
        </w:rPr>
        <w:t xml:space="preserve"> (</w:t>
      </w:r>
      <w:r w:rsidR="00450D39">
        <w:rPr>
          <w:lang w:val="en-US"/>
        </w:rPr>
        <w:fldChar w:fldCharType="begin"/>
      </w:r>
      <w:r w:rsidR="00450D39">
        <w:rPr>
          <w:lang w:val="en-US"/>
        </w:rPr>
        <w:instrText xml:space="preserve"> REF _Ref530787107 \h </w:instrText>
      </w:r>
      <w:r w:rsidR="00A129E5">
        <w:rPr>
          <w:lang w:val="en-US"/>
        </w:rPr>
        <w:instrText xml:space="preserve"> \* MERGEFORMAT </w:instrText>
      </w:r>
      <w:r w:rsidR="00450D39">
        <w:rPr>
          <w:lang w:val="en-US"/>
        </w:rPr>
      </w:r>
      <w:r w:rsidR="00450D39">
        <w:rPr>
          <w:lang w:val="en-US"/>
        </w:rPr>
        <w:fldChar w:fldCharType="separate"/>
      </w:r>
      <w:r w:rsidR="00941055" w:rsidRPr="00FB69AD">
        <w:rPr>
          <w:lang w:val="en-US"/>
        </w:rPr>
        <w:t xml:space="preserve">Table </w:t>
      </w:r>
      <w:r w:rsidR="00941055">
        <w:rPr>
          <w:noProof/>
          <w:lang w:val="en-US"/>
        </w:rPr>
        <w:t>2</w:t>
      </w:r>
      <w:r w:rsidR="00450D39">
        <w:rPr>
          <w:lang w:val="en-US"/>
        </w:rPr>
        <w:fldChar w:fldCharType="end"/>
      </w:r>
      <w:r w:rsidR="00450D39">
        <w:rPr>
          <w:lang w:val="en-US"/>
        </w:rPr>
        <w:t>)</w:t>
      </w:r>
      <w:r w:rsidR="00EA5385">
        <w:rPr>
          <w:lang w:val="en-US"/>
        </w:rPr>
        <w:t xml:space="preserve"> of the compound was measured</w:t>
      </w:r>
      <w:r w:rsidR="001D0284">
        <w:rPr>
          <w:lang w:val="en-US"/>
        </w:rPr>
        <w:t>. While</w:t>
      </w:r>
      <w:r w:rsidR="0062200C">
        <w:rPr>
          <w:lang w:val="en-US"/>
        </w:rPr>
        <w:t xml:space="preserve"> compound</w:t>
      </w:r>
      <w:r w:rsidR="001D0284">
        <w:rPr>
          <w:lang w:val="en-US"/>
        </w:rPr>
        <w:t xml:space="preserve"> </w:t>
      </w:r>
      <w:r w:rsidR="001D0284" w:rsidRPr="001D0284">
        <w:rPr>
          <w:b/>
          <w:lang w:val="en-US"/>
        </w:rPr>
        <w:t>A</w:t>
      </w:r>
      <w:r w:rsidR="001D0284">
        <w:rPr>
          <w:lang w:val="en-US"/>
        </w:rPr>
        <w:t xml:space="preserve"> leads to slightly higher surface pressures than the non-surfactant references, its surface activity is far below that of </w:t>
      </w:r>
      <w:r w:rsidR="008F263C">
        <w:rPr>
          <w:lang w:val="en-US"/>
        </w:rPr>
        <w:t>a typical</w:t>
      </w:r>
      <w:r w:rsidR="001D0284">
        <w:rPr>
          <w:lang w:val="en-US"/>
        </w:rPr>
        <w:t xml:space="preserve"> surfactant </w:t>
      </w:r>
      <w:r w:rsidR="004910DE">
        <w:rPr>
          <w:lang w:val="en-US"/>
        </w:rPr>
        <w:t>polysorbate</w:t>
      </w:r>
      <w:r w:rsidR="001D0284">
        <w:rPr>
          <w:lang w:val="en-US"/>
        </w:rPr>
        <w:t xml:space="preserve"> 20.</w:t>
      </w:r>
    </w:p>
    <w:p w14:paraId="345842DE" w14:textId="691846C0" w:rsidR="00B06401" w:rsidRDefault="001D0284" w:rsidP="00A129E5">
      <w:pPr>
        <w:spacing w:line="480" w:lineRule="auto"/>
        <w:jc w:val="both"/>
        <w:rPr>
          <w:lang w:val="en-US"/>
        </w:rPr>
      </w:pPr>
      <w:r>
        <w:rPr>
          <w:lang w:val="en-US"/>
        </w:rPr>
        <w:t>Furthermore,</w:t>
      </w:r>
      <w:r w:rsidR="00EA5385">
        <w:rPr>
          <w:lang w:val="en-US"/>
        </w:rPr>
        <w:t xml:space="preserve"> the effect of </w:t>
      </w:r>
      <w:r w:rsidR="0062200C">
        <w:rPr>
          <w:lang w:val="en-US"/>
        </w:rPr>
        <w:t xml:space="preserve">compound </w:t>
      </w:r>
      <w:r w:rsidR="00D15F27" w:rsidRPr="00D15F27">
        <w:rPr>
          <w:b/>
          <w:lang w:val="en-US"/>
        </w:rPr>
        <w:t>A</w:t>
      </w:r>
      <w:r w:rsidR="00D15F27">
        <w:rPr>
          <w:lang w:val="en-US"/>
        </w:rPr>
        <w:t>’s L-</w:t>
      </w:r>
      <w:r w:rsidR="00F62715">
        <w:rPr>
          <w:lang w:val="en-US"/>
        </w:rPr>
        <w:t>isomeric for</w:t>
      </w:r>
      <w:r w:rsidR="00EA5385">
        <w:rPr>
          <w:lang w:val="en-US"/>
        </w:rPr>
        <w:t>m</w:t>
      </w:r>
      <w:r w:rsidR="00D15F27">
        <w:rPr>
          <w:lang w:val="en-US"/>
        </w:rPr>
        <w:t>,</w:t>
      </w:r>
      <w:r w:rsidR="00D15F27">
        <w:rPr>
          <w:b/>
          <w:lang w:val="en-US"/>
        </w:rPr>
        <w:t xml:space="preserve"> </w:t>
      </w:r>
      <w:r w:rsidR="00D15F27" w:rsidRPr="00D15F27">
        <w:rPr>
          <w:lang w:val="en-US"/>
        </w:rPr>
        <w:t>glycy</w:t>
      </w:r>
      <w:r w:rsidR="00D15F27">
        <w:rPr>
          <w:lang w:val="en-US"/>
        </w:rPr>
        <w:t>l</w:t>
      </w:r>
      <w:r w:rsidR="00D15F27" w:rsidRPr="00D15F27">
        <w:rPr>
          <w:lang w:val="en-US"/>
        </w:rPr>
        <w:t>-L-asparagin</w:t>
      </w:r>
      <w:r w:rsidR="00A858B0">
        <w:rPr>
          <w:lang w:val="en-US"/>
        </w:rPr>
        <w:t>e</w:t>
      </w:r>
      <w:r w:rsidR="00D15F27">
        <w:rPr>
          <w:lang w:val="en-US"/>
        </w:rPr>
        <w:t>,</w:t>
      </w:r>
      <w:r w:rsidR="00EA5385">
        <w:rPr>
          <w:lang w:val="en-US"/>
        </w:rPr>
        <w:t xml:space="preserve"> on particle formation</w:t>
      </w:r>
      <w:r w:rsidR="00F62715">
        <w:rPr>
          <w:lang w:val="en-US"/>
        </w:rPr>
        <w:t xml:space="preserve"> was tested</w:t>
      </w:r>
      <w:r w:rsidR="00B06401">
        <w:rPr>
          <w:lang w:val="en-US"/>
        </w:rPr>
        <w:t xml:space="preserve"> (</w:t>
      </w:r>
      <w:r w:rsidR="00171B9A">
        <w:rPr>
          <w:lang w:val="en-US"/>
        </w:rPr>
        <w:fldChar w:fldCharType="begin"/>
      </w:r>
      <w:r w:rsidR="00171B9A">
        <w:rPr>
          <w:lang w:val="en-US"/>
        </w:rPr>
        <w:instrText xml:space="preserve"> REF _Ref449664 \h </w:instrText>
      </w:r>
      <w:r w:rsidR="00171B9A">
        <w:rPr>
          <w:lang w:val="en-US"/>
        </w:rPr>
      </w:r>
      <w:r w:rsidR="00171B9A">
        <w:rPr>
          <w:lang w:val="en-US"/>
        </w:rPr>
        <w:fldChar w:fldCharType="separate"/>
      </w:r>
      <w:r w:rsidR="00941055" w:rsidRPr="00997610">
        <w:rPr>
          <w:lang w:val="en-US"/>
        </w:rPr>
        <w:t xml:space="preserve">Figure </w:t>
      </w:r>
      <w:r w:rsidR="00941055">
        <w:rPr>
          <w:noProof/>
          <w:lang w:val="en-US"/>
        </w:rPr>
        <w:t>4</w:t>
      </w:r>
      <w:r w:rsidR="00171B9A">
        <w:rPr>
          <w:lang w:val="en-US"/>
        </w:rPr>
        <w:fldChar w:fldCharType="end"/>
      </w:r>
      <w:r w:rsidR="00A83309">
        <w:rPr>
          <w:lang w:val="en-US"/>
        </w:rPr>
        <w:t>)</w:t>
      </w:r>
      <w:r w:rsidR="00F417C8">
        <w:rPr>
          <w:lang w:val="en-US"/>
        </w:rPr>
        <w:t>.</w:t>
      </w:r>
      <w:r w:rsidR="00B06401">
        <w:rPr>
          <w:lang w:val="en-US"/>
        </w:rPr>
        <w:t xml:space="preserve"> Compound </w:t>
      </w:r>
      <w:r w:rsidR="00B06401" w:rsidRPr="00B06401">
        <w:rPr>
          <w:b/>
          <w:lang w:val="en-US"/>
        </w:rPr>
        <w:t>A</w:t>
      </w:r>
      <w:r w:rsidR="00B06401">
        <w:rPr>
          <w:lang w:val="en-US"/>
        </w:rPr>
        <w:t xml:space="preserve"> drastically reduce</w:t>
      </w:r>
      <w:r w:rsidR="00A2520E">
        <w:rPr>
          <w:lang w:val="en-US"/>
        </w:rPr>
        <w:t>s</w:t>
      </w:r>
      <w:r w:rsidR="00B06401">
        <w:rPr>
          <w:lang w:val="en-US"/>
        </w:rPr>
        <w:t xml:space="preserve"> sub-visible particle formation compared to all other tested molecules, surprisingly even slightly lowering particle counts compared to the unstressed sample.</w:t>
      </w:r>
      <w:r w:rsidR="00F417C8">
        <w:rPr>
          <w:lang w:val="en-US"/>
        </w:rPr>
        <w:t xml:space="preserve"> </w:t>
      </w:r>
      <w:r w:rsidR="00A2520E">
        <w:rPr>
          <w:lang w:val="en-US"/>
        </w:rPr>
        <w:t>Glycyl-L-asparagine</w:t>
      </w:r>
      <w:r w:rsidR="002E120B">
        <w:rPr>
          <w:lang w:val="en-US"/>
        </w:rPr>
        <w:t xml:space="preserve"> does not have a</w:t>
      </w:r>
      <w:r w:rsidR="008C47E1">
        <w:rPr>
          <w:lang w:val="en-US"/>
        </w:rPr>
        <w:t xml:space="preserve"> beneficial effect on particle formation compared to the excipient free formulation.</w:t>
      </w:r>
    </w:p>
    <w:p w14:paraId="390A1AA9" w14:textId="6324E24F" w:rsidR="00C02E03" w:rsidRDefault="000F2F7A" w:rsidP="00A129E5">
      <w:pPr>
        <w:spacing w:line="480" w:lineRule="auto"/>
        <w:jc w:val="both"/>
        <w:rPr>
          <w:lang w:val="en-US"/>
        </w:rPr>
      </w:pPr>
      <w:r>
        <w:rPr>
          <w:lang w:val="en-US"/>
        </w:rPr>
        <w:t xml:space="preserve">In order to study the </w:t>
      </w:r>
      <w:r w:rsidR="003B7D53">
        <w:rPr>
          <w:lang w:val="en-US"/>
        </w:rPr>
        <w:t>target specificity of</w:t>
      </w:r>
      <w:r w:rsidR="0062200C">
        <w:rPr>
          <w:lang w:val="en-US"/>
        </w:rPr>
        <w:t xml:space="preserve"> compound</w:t>
      </w:r>
      <w:r w:rsidR="003B7D53">
        <w:rPr>
          <w:lang w:val="en-US"/>
        </w:rPr>
        <w:t xml:space="preserve"> </w:t>
      </w:r>
      <w:r w:rsidR="00D15F27" w:rsidRPr="00D15F27">
        <w:rPr>
          <w:b/>
          <w:lang w:val="en-US"/>
        </w:rPr>
        <w:t>A</w:t>
      </w:r>
      <w:r w:rsidR="003B7D53" w:rsidRPr="003B7D53">
        <w:rPr>
          <w:lang w:val="en-US"/>
        </w:rPr>
        <w:t>,</w:t>
      </w:r>
      <w:r w:rsidR="003B7D53">
        <w:rPr>
          <w:lang w:val="en-US"/>
        </w:rPr>
        <w:t xml:space="preserve"> it</w:t>
      </w:r>
      <w:r w:rsidR="00D15F27">
        <w:rPr>
          <w:lang w:val="en-US"/>
        </w:rPr>
        <w:t>s</w:t>
      </w:r>
      <w:r w:rsidR="00F417C8">
        <w:rPr>
          <w:lang w:val="en-US"/>
        </w:rPr>
        <w:t xml:space="preserve"> stabilizing effect was tested </w:t>
      </w:r>
      <w:r w:rsidR="00E531DF">
        <w:rPr>
          <w:lang w:val="en-US"/>
        </w:rPr>
        <w:t>in combination with</w:t>
      </w:r>
      <w:r w:rsidR="00F417C8">
        <w:rPr>
          <w:lang w:val="en-US"/>
        </w:rPr>
        <w:t xml:space="preserve"> a</w:t>
      </w:r>
      <w:r w:rsidR="00C540E4">
        <w:rPr>
          <w:lang w:val="en-US"/>
        </w:rPr>
        <w:t xml:space="preserve"> mAb</w:t>
      </w:r>
      <w:r w:rsidR="00E54F20">
        <w:rPr>
          <w:lang w:val="en-US"/>
        </w:rPr>
        <w:t xml:space="preserve"> (</w:t>
      </w:r>
      <w:r w:rsidR="00F72BD4">
        <w:rPr>
          <w:lang w:val="en-US"/>
        </w:rPr>
        <w:t>Figure S-2</w:t>
      </w:r>
      <w:r w:rsidR="00E54F20">
        <w:rPr>
          <w:lang w:val="en-US"/>
        </w:rPr>
        <w:t>)</w:t>
      </w:r>
      <w:r w:rsidR="00EA5385">
        <w:rPr>
          <w:lang w:val="en-US"/>
        </w:rPr>
        <w:t>.</w:t>
      </w:r>
      <w:r w:rsidR="00E54F20">
        <w:rPr>
          <w:lang w:val="en-US"/>
        </w:rPr>
        <w:t xml:space="preserve"> </w:t>
      </w:r>
      <w:r w:rsidR="00E531DF">
        <w:rPr>
          <w:lang w:val="en-US"/>
        </w:rPr>
        <w:t>Here,</w:t>
      </w:r>
      <w:r w:rsidR="001F7604">
        <w:rPr>
          <w:lang w:val="en-US"/>
        </w:rPr>
        <w:t xml:space="preserve"> all tested compo</w:t>
      </w:r>
      <w:r w:rsidR="00B06401">
        <w:rPr>
          <w:lang w:val="en-US"/>
        </w:rPr>
        <w:t>unds reduce</w:t>
      </w:r>
      <w:r w:rsidR="003B7D53">
        <w:rPr>
          <w:lang w:val="en-US"/>
        </w:rPr>
        <w:t>d</w:t>
      </w:r>
      <w:r w:rsidR="00B06401">
        <w:rPr>
          <w:lang w:val="en-US"/>
        </w:rPr>
        <w:t xml:space="preserve"> particle formation</w:t>
      </w:r>
      <w:r w:rsidR="003B7D53">
        <w:rPr>
          <w:lang w:val="en-US"/>
        </w:rPr>
        <w:t xml:space="preserve"> with</w:t>
      </w:r>
      <w:r w:rsidR="00B06401">
        <w:rPr>
          <w:lang w:val="en-US"/>
        </w:rPr>
        <w:t xml:space="preserve"> compound </w:t>
      </w:r>
      <w:r w:rsidR="00B06401" w:rsidRPr="00B06401">
        <w:rPr>
          <w:b/>
          <w:lang w:val="en-US"/>
        </w:rPr>
        <w:t>A</w:t>
      </w:r>
      <w:r w:rsidR="00B06401">
        <w:rPr>
          <w:lang w:val="en-US"/>
        </w:rPr>
        <w:t xml:space="preserve"> perform</w:t>
      </w:r>
      <w:r w:rsidR="003B7D53">
        <w:rPr>
          <w:lang w:val="en-US"/>
        </w:rPr>
        <w:t>ing</w:t>
      </w:r>
      <w:r w:rsidR="00B06401">
        <w:rPr>
          <w:lang w:val="en-US"/>
        </w:rPr>
        <w:t xml:space="preserve"> slightly worse than the benchmark excipients. </w:t>
      </w:r>
    </w:p>
    <w:p w14:paraId="6999596D" w14:textId="1FA3D014" w:rsidR="00590321" w:rsidRPr="00465DD9" w:rsidRDefault="006103E5" w:rsidP="00A129E5">
      <w:pPr>
        <w:spacing w:line="480" w:lineRule="auto"/>
        <w:jc w:val="both"/>
        <w:rPr>
          <w:b/>
          <w:lang w:val="en-US"/>
        </w:rPr>
      </w:pPr>
      <w:r>
        <w:rPr>
          <w:lang w:val="en-US"/>
        </w:rPr>
        <w:t xml:space="preserve">While compound </w:t>
      </w:r>
      <w:r w:rsidRPr="006103E5">
        <w:rPr>
          <w:b/>
          <w:lang w:val="en-US"/>
        </w:rPr>
        <w:t>A</w:t>
      </w:r>
      <w:r>
        <w:rPr>
          <w:lang w:val="en-US"/>
        </w:rPr>
        <w:t xml:space="preserve"> showed a stabilizing effect on IFN when formulations were exposed to agitation or freezing/thawing, </w:t>
      </w:r>
      <w:r w:rsidR="00465DD9">
        <w:rPr>
          <w:lang w:val="en-US"/>
        </w:rPr>
        <w:t>it</w:t>
      </w:r>
      <w:r>
        <w:rPr>
          <w:lang w:val="en-US"/>
        </w:rPr>
        <w:t xml:space="preserve"> had no effect on the protein’s </w:t>
      </w:r>
      <w:r w:rsidR="0099052E">
        <w:rPr>
          <w:lang w:val="en-US"/>
        </w:rPr>
        <w:t>thermal stability</w:t>
      </w:r>
      <w:r w:rsidR="00504085">
        <w:rPr>
          <w:lang w:val="en-US"/>
        </w:rPr>
        <w:t xml:space="preserve"> </w:t>
      </w:r>
      <w:r w:rsidR="00590321">
        <w:rPr>
          <w:lang w:val="en-US"/>
        </w:rPr>
        <w:t>(</w:t>
      </w:r>
      <w:r w:rsidR="00BB34B1">
        <w:rPr>
          <w:lang w:val="en-US"/>
        </w:rPr>
        <w:t>Table S-1</w:t>
      </w:r>
      <w:r w:rsidR="00590321">
        <w:rPr>
          <w:lang w:val="en-US"/>
        </w:rPr>
        <w:t>)</w:t>
      </w:r>
      <w:r w:rsidR="00504085">
        <w:rPr>
          <w:lang w:val="en-US"/>
        </w:rPr>
        <w:t>.</w:t>
      </w:r>
      <w:r w:rsidR="00465DD9">
        <w:rPr>
          <w:lang w:val="en-US"/>
        </w:rPr>
        <w:t xml:space="preserve"> </w:t>
      </w:r>
      <w:r w:rsidR="00BB34B1">
        <w:rPr>
          <w:lang w:val="en-US"/>
        </w:rPr>
        <w:t>Neither did any other of the examined compounds.</w:t>
      </w:r>
    </w:p>
    <w:p w14:paraId="087CF6DD" w14:textId="12B14ECC" w:rsidR="004C16D9" w:rsidRDefault="004C16D9" w:rsidP="00A129E5">
      <w:pPr>
        <w:spacing w:line="480" w:lineRule="auto"/>
        <w:rPr>
          <w:i/>
          <w:u w:val="single"/>
          <w:lang w:val="en-US"/>
        </w:rPr>
      </w:pPr>
      <w:r w:rsidRPr="009E2A7D">
        <w:rPr>
          <w:i/>
          <w:u w:val="single"/>
          <w:lang w:val="en-US"/>
        </w:rPr>
        <w:lastRenderedPageBreak/>
        <w:t>Toxicity Prediction</w:t>
      </w:r>
    </w:p>
    <w:p w14:paraId="3D17238C" w14:textId="2E1B9473" w:rsidR="00942F4C" w:rsidRPr="00942F4C" w:rsidRDefault="00C535A6" w:rsidP="00A129E5">
      <w:pPr>
        <w:spacing w:line="480" w:lineRule="auto"/>
        <w:jc w:val="both"/>
        <w:rPr>
          <w:lang w:val="en-US"/>
        </w:rPr>
      </w:pPr>
      <w:r>
        <w:rPr>
          <w:lang w:val="en-US"/>
        </w:rPr>
        <w:t xml:space="preserve">The </w:t>
      </w:r>
      <w:r w:rsidR="009966E8">
        <w:rPr>
          <w:lang w:val="en-US"/>
        </w:rPr>
        <w:t xml:space="preserve">VirtualToxLab </w:t>
      </w:r>
      <w:r>
        <w:rPr>
          <w:lang w:val="en-US"/>
        </w:rPr>
        <w:t>tool predicts</w:t>
      </w:r>
      <w:r w:rsidR="009966E8">
        <w:rPr>
          <w:lang w:val="en-US"/>
        </w:rPr>
        <w:t xml:space="preserve"> a very low toxicity of </w:t>
      </w:r>
      <w:r w:rsidR="0062200C">
        <w:rPr>
          <w:lang w:val="en-US"/>
        </w:rPr>
        <w:t xml:space="preserve">compound </w:t>
      </w:r>
      <w:r w:rsidR="009E38D9" w:rsidRPr="00D7205F">
        <w:rPr>
          <w:b/>
          <w:lang w:val="en-US"/>
        </w:rPr>
        <w:t>A</w:t>
      </w:r>
      <w:r w:rsidR="009966E8">
        <w:rPr>
          <w:lang w:val="en-US"/>
        </w:rPr>
        <w:t>.</w:t>
      </w:r>
      <w:r w:rsidR="008A256F">
        <w:rPr>
          <w:lang w:val="en-US"/>
        </w:rPr>
        <w:t xml:space="preserve"> </w:t>
      </w:r>
      <w:r w:rsidR="008F6CE5">
        <w:rPr>
          <w:lang w:val="en-US"/>
        </w:rPr>
        <w:t>It was</w:t>
      </w:r>
      <w:r w:rsidR="008A256F">
        <w:rPr>
          <w:lang w:val="en-US"/>
        </w:rPr>
        <w:t xml:space="preserve"> </w:t>
      </w:r>
      <w:r w:rsidR="00FD6F3D">
        <w:rPr>
          <w:lang w:val="en-US"/>
        </w:rPr>
        <w:t>predicted not</w:t>
      </w:r>
      <w:r w:rsidR="008A256F">
        <w:rPr>
          <w:lang w:val="en-US"/>
        </w:rPr>
        <w:t xml:space="preserve"> to bind to any of the</w:t>
      </w:r>
      <w:r w:rsidR="008F6CE5">
        <w:rPr>
          <w:lang w:val="en-US"/>
        </w:rPr>
        <w:t xml:space="preserve"> toxicity related</w:t>
      </w:r>
      <w:r w:rsidR="008A256F">
        <w:rPr>
          <w:lang w:val="en-US"/>
        </w:rPr>
        <w:t xml:space="preserve"> target proteins and </w:t>
      </w:r>
      <w:r w:rsidR="008F6CE5">
        <w:rPr>
          <w:lang w:val="en-US"/>
        </w:rPr>
        <w:t>its</w:t>
      </w:r>
      <w:r w:rsidR="008A256F">
        <w:rPr>
          <w:lang w:val="en-US"/>
        </w:rPr>
        <w:t xml:space="preserve"> overall toxicity score was found to be 0.079</w:t>
      </w:r>
      <w:r w:rsidR="009F2005">
        <w:rPr>
          <w:lang w:val="en-US"/>
        </w:rPr>
        <w:t>, ranking for example below vitamin C which has a score of 0.253</w:t>
      </w:r>
      <w:r w:rsidR="008A256F">
        <w:rPr>
          <w:lang w:val="en-US"/>
        </w:rPr>
        <w:t>.</w:t>
      </w:r>
    </w:p>
    <w:p w14:paraId="3BBB9298" w14:textId="77777777" w:rsidR="003A151D" w:rsidRDefault="003A151D" w:rsidP="00A129E5">
      <w:pPr>
        <w:spacing w:line="480" w:lineRule="auto"/>
        <w:rPr>
          <w:b/>
          <w:lang w:val="en-US"/>
        </w:rPr>
      </w:pPr>
      <w:r w:rsidRPr="003A151D">
        <w:rPr>
          <w:b/>
          <w:lang w:val="en-US"/>
        </w:rPr>
        <w:t>Discussion</w:t>
      </w:r>
    </w:p>
    <w:p w14:paraId="25F397CE" w14:textId="44ABE696" w:rsidR="00AF25B6" w:rsidRDefault="00662CCD" w:rsidP="00A129E5">
      <w:pPr>
        <w:spacing w:line="480" w:lineRule="auto"/>
        <w:jc w:val="both"/>
        <w:rPr>
          <w:rFonts w:cstheme="minorHAnsi"/>
          <w:lang w:val="en-US"/>
        </w:rPr>
      </w:pPr>
      <w:r>
        <w:rPr>
          <w:rFonts w:cstheme="minorHAnsi"/>
          <w:lang w:val="en-US"/>
        </w:rPr>
        <w:t xml:space="preserve">The virtual screen was successful with a hit rate of 20% in identifying </w:t>
      </w:r>
      <w:r w:rsidR="00EB07A2">
        <w:rPr>
          <w:rFonts w:cstheme="minorHAnsi"/>
          <w:lang w:val="en-US"/>
        </w:rPr>
        <w:t>one out of five tested</w:t>
      </w:r>
      <w:r>
        <w:rPr>
          <w:rFonts w:cstheme="minorHAnsi"/>
          <w:lang w:val="en-US"/>
        </w:rPr>
        <w:t xml:space="preserve"> molecules that bind to IFN with µM affinities. Further improving binding affinities could be achieved by allowing for more hydrophobic compounds in the screen or increasing the compound</w:t>
      </w:r>
      <w:r w:rsidR="00D206AE">
        <w:rPr>
          <w:rFonts w:cstheme="minorHAnsi"/>
          <w:lang w:val="en-US"/>
        </w:rPr>
        <w:t>’</w:t>
      </w:r>
      <w:r>
        <w:rPr>
          <w:rFonts w:cstheme="minorHAnsi"/>
          <w:lang w:val="en-US"/>
        </w:rPr>
        <w:t>s size. This may however have a negative effect on toxicity</w:t>
      </w:r>
      <w:r w:rsidR="00D56A22">
        <w:rPr>
          <w:rFonts w:cstheme="minorHAnsi"/>
          <w:lang w:val="en-US"/>
        </w:rPr>
        <w:t xml:space="preserve"> and clearance of the compound. Even though we were successful in identifying a compound that reduces particle formation, docking alone cannot be </w:t>
      </w:r>
      <w:r w:rsidR="00091090">
        <w:rPr>
          <w:rFonts w:cstheme="minorHAnsi"/>
          <w:lang w:val="en-US"/>
        </w:rPr>
        <w:t>considered</w:t>
      </w:r>
      <w:r w:rsidR="00D56A22">
        <w:rPr>
          <w:rFonts w:cstheme="minorHAnsi"/>
          <w:lang w:val="en-US"/>
        </w:rPr>
        <w:t xml:space="preserve"> as proof of a structure-activity relationship</w:t>
      </w:r>
      <w:r w:rsidR="00A36298">
        <w:rPr>
          <w:rFonts w:cstheme="minorHAnsi"/>
          <w:lang w:val="en-US"/>
        </w:rPr>
        <w:t>.</w:t>
      </w:r>
      <w:r w:rsidR="00233873">
        <w:rPr>
          <w:rFonts w:cstheme="minorHAnsi"/>
          <w:lang w:val="en-US"/>
        </w:rPr>
        <w:t xml:space="preserve"> </w:t>
      </w:r>
      <w:r w:rsidR="00753FB0">
        <w:rPr>
          <w:rFonts w:cstheme="minorHAnsi"/>
          <w:lang w:val="en-US"/>
        </w:rPr>
        <w:t>While MM-GBSA ranked affinities</w:t>
      </w:r>
      <w:r w:rsidR="0031417A">
        <w:rPr>
          <w:rFonts w:cstheme="minorHAnsi"/>
          <w:lang w:val="en-US"/>
        </w:rPr>
        <w:t xml:space="preserve"> of compounds</w:t>
      </w:r>
      <w:r w:rsidR="008434E1">
        <w:rPr>
          <w:rFonts w:cstheme="minorHAnsi"/>
          <w:lang w:val="en-US"/>
        </w:rPr>
        <w:t xml:space="preserve"> </w:t>
      </w:r>
      <w:r w:rsidR="008434E1" w:rsidRPr="008434E1">
        <w:rPr>
          <w:rFonts w:cstheme="minorHAnsi"/>
          <w:b/>
          <w:lang w:val="en-US"/>
        </w:rPr>
        <w:t>C</w:t>
      </w:r>
      <w:r w:rsidR="008434E1">
        <w:rPr>
          <w:rFonts w:cstheme="minorHAnsi"/>
          <w:lang w:val="en-US"/>
        </w:rPr>
        <w:t xml:space="preserve"> to </w:t>
      </w:r>
      <w:r w:rsidR="008434E1" w:rsidRPr="008434E1">
        <w:rPr>
          <w:rFonts w:cstheme="minorHAnsi"/>
          <w:b/>
          <w:lang w:val="en-US"/>
        </w:rPr>
        <w:t>E</w:t>
      </w:r>
      <w:r w:rsidR="0031417A">
        <w:rPr>
          <w:rFonts w:cstheme="minorHAnsi"/>
          <w:lang w:val="en-US"/>
        </w:rPr>
        <w:t xml:space="preserve"> other than</w:t>
      </w:r>
      <w:r w:rsidR="0062200C">
        <w:rPr>
          <w:rFonts w:cstheme="minorHAnsi"/>
          <w:lang w:val="en-US"/>
        </w:rPr>
        <w:t xml:space="preserve"> compound</w:t>
      </w:r>
      <w:r w:rsidR="0031417A">
        <w:rPr>
          <w:rFonts w:cstheme="minorHAnsi"/>
          <w:lang w:val="en-US"/>
        </w:rPr>
        <w:t xml:space="preserve"> </w:t>
      </w:r>
      <w:r w:rsidR="0031417A" w:rsidRPr="0031417A">
        <w:rPr>
          <w:rFonts w:cstheme="minorHAnsi"/>
          <w:b/>
          <w:lang w:val="en-US"/>
        </w:rPr>
        <w:t>A</w:t>
      </w:r>
      <w:r w:rsidR="00753FB0">
        <w:rPr>
          <w:rFonts w:cstheme="minorHAnsi"/>
          <w:lang w:val="en-US"/>
        </w:rPr>
        <w:t xml:space="preserve"> higher, they were not detected to bind in MST measurements. As already </w:t>
      </w:r>
      <w:r w:rsidR="0031417A">
        <w:rPr>
          <w:rFonts w:cstheme="minorHAnsi"/>
          <w:lang w:val="en-US"/>
        </w:rPr>
        <w:t>mentioned</w:t>
      </w:r>
      <w:r w:rsidR="00753FB0">
        <w:rPr>
          <w:rFonts w:cstheme="minorHAnsi"/>
          <w:lang w:val="en-US"/>
        </w:rPr>
        <w:t xml:space="preserve">, this may be explained by the many simplifications </w:t>
      </w:r>
      <w:r w:rsidR="0031417A">
        <w:rPr>
          <w:rFonts w:cstheme="minorHAnsi"/>
          <w:lang w:val="en-US"/>
        </w:rPr>
        <w:t>made by the docking algorithms.</w:t>
      </w:r>
    </w:p>
    <w:p w14:paraId="0D13715C" w14:textId="2D6FEF9D" w:rsidR="00056F1C" w:rsidRPr="00CE31A9" w:rsidRDefault="00056F1C" w:rsidP="00A129E5">
      <w:pPr>
        <w:spacing w:before="240" w:line="480" w:lineRule="auto"/>
        <w:jc w:val="both"/>
        <w:rPr>
          <w:rFonts w:cstheme="minorHAnsi"/>
          <w:lang w:val="en-US"/>
        </w:rPr>
      </w:pPr>
      <w:r>
        <w:rPr>
          <w:rFonts w:cstheme="minorHAnsi"/>
          <w:lang w:val="en-US"/>
        </w:rPr>
        <w:t>In order to obtain additional binding molecules, the same library was docked against an ensemble of IFN conformations, leading to the identification of one additional hit, which however showed no increase in stability in any forced degradation study</w:t>
      </w:r>
      <w:r w:rsidR="00597E74">
        <w:rPr>
          <w:rFonts w:cstheme="minorHAnsi"/>
          <w:lang w:val="en-US"/>
        </w:rPr>
        <w:t xml:space="preserve"> (data not shown)</w:t>
      </w:r>
      <w:r>
        <w:rPr>
          <w:rFonts w:cstheme="minorHAnsi"/>
          <w:lang w:val="en-US"/>
        </w:rPr>
        <w:t xml:space="preserve">. This finding indicates that not all protein-ligand complexes would result in a stabilization, but only specific interactions. </w:t>
      </w:r>
      <w:r w:rsidR="00E531DF">
        <w:rPr>
          <w:rFonts w:cstheme="minorHAnsi"/>
          <w:lang w:val="en-US"/>
        </w:rPr>
        <w:t xml:space="preserve">When adding the tested compounds to </w:t>
      </w:r>
      <w:r w:rsidR="00825DDC">
        <w:rPr>
          <w:rFonts w:cstheme="minorHAnsi"/>
          <w:lang w:val="en-US"/>
        </w:rPr>
        <w:t xml:space="preserve">formulations containing mAb-1 instead of IFN, compound </w:t>
      </w:r>
      <w:r w:rsidR="00825DDC">
        <w:rPr>
          <w:rFonts w:cstheme="minorHAnsi"/>
          <w:b/>
          <w:lang w:val="en-US"/>
        </w:rPr>
        <w:t>A</w:t>
      </w:r>
      <w:r w:rsidR="00825DDC">
        <w:rPr>
          <w:rFonts w:cstheme="minorHAnsi"/>
          <w:lang w:val="en-US"/>
        </w:rPr>
        <w:t xml:space="preserve">, L-arginine and D(+)-trehalose would all reduce particle formation after freeze-thaw stress to the same extend. Given the structural diversity of the three compounds, </w:t>
      </w:r>
      <w:r w:rsidR="00345BAF">
        <w:rPr>
          <w:rFonts w:cstheme="minorHAnsi"/>
          <w:lang w:val="en-US"/>
        </w:rPr>
        <w:t>stabilization</w:t>
      </w:r>
      <w:r w:rsidR="00825DDC">
        <w:rPr>
          <w:rFonts w:cstheme="minorHAnsi"/>
          <w:lang w:val="en-US"/>
        </w:rPr>
        <w:t xml:space="preserve"> </w:t>
      </w:r>
      <w:r w:rsidR="00345BAF">
        <w:rPr>
          <w:rFonts w:cstheme="minorHAnsi"/>
          <w:lang w:val="en-US"/>
        </w:rPr>
        <w:t xml:space="preserve">of mAb-1 </w:t>
      </w:r>
      <w:r w:rsidR="00825DDC">
        <w:rPr>
          <w:rFonts w:cstheme="minorHAnsi"/>
          <w:lang w:val="en-US"/>
        </w:rPr>
        <w:t>can be interpreted as a non-specific effect.</w:t>
      </w:r>
      <w:r w:rsidR="00D85819">
        <w:rPr>
          <w:rFonts w:cstheme="minorHAnsi"/>
          <w:lang w:val="en-US"/>
        </w:rPr>
        <w:t xml:space="preserve"> The non-specific stabilization observed with a mAb and the non-stabilizing effect of compound </w:t>
      </w:r>
      <w:r w:rsidR="00D85819" w:rsidRPr="00A66092">
        <w:rPr>
          <w:rFonts w:cstheme="minorHAnsi"/>
          <w:b/>
          <w:lang w:val="en-US"/>
        </w:rPr>
        <w:t>A</w:t>
      </w:r>
      <w:r w:rsidR="00D85819">
        <w:rPr>
          <w:rFonts w:cstheme="minorHAnsi"/>
          <w:lang w:val="en-US"/>
        </w:rPr>
        <w:t>’s enantiomer</w:t>
      </w:r>
      <w:r w:rsidR="00E075EA">
        <w:rPr>
          <w:rFonts w:cstheme="minorHAnsi"/>
          <w:lang w:val="en-US"/>
        </w:rPr>
        <w:t xml:space="preserve"> </w:t>
      </w:r>
      <w:r w:rsidR="00836C8B">
        <w:rPr>
          <w:rFonts w:cstheme="minorHAnsi"/>
          <w:lang w:val="en-US"/>
        </w:rPr>
        <w:t>with IFN</w:t>
      </w:r>
      <w:r w:rsidR="00D85819">
        <w:rPr>
          <w:rFonts w:cstheme="minorHAnsi"/>
          <w:lang w:val="en-US"/>
        </w:rPr>
        <w:t xml:space="preserve"> both</w:t>
      </w:r>
      <w:r>
        <w:rPr>
          <w:rFonts w:cstheme="minorHAnsi"/>
          <w:lang w:val="en-US"/>
        </w:rPr>
        <w:t xml:space="preserve"> strongly support our initial hypothesis of a specific protein-ligand interaction leading to a stabilization </w:t>
      </w:r>
      <w:r w:rsidR="00315167">
        <w:rPr>
          <w:rFonts w:cstheme="minorHAnsi"/>
          <w:lang w:val="en-US"/>
        </w:rPr>
        <w:t>against</w:t>
      </w:r>
      <w:r>
        <w:rPr>
          <w:rFonts w:cstheme="minorHAnsi"/>
          <w:lang w:val="en-US"/>
        </w:rPr>
        <w:t xml:space="preserve"> native protein aggregation</w:t>
      </w:r>
      <w:r w:rsidR="00C83FE4">
        <w:rPr>
          <w:rFonts w:cstheme="minorHAnsi"/>
          <w:lang w:val="en-US"/>
        </w:rPr>
        <w:t xml:space="preserve"> of IFN</w:t>
      </w:r>
      <w:r>
        <w:rPr>
          <w:rFonts w:cstheme="minorHAnsi"/>
          <w:lang w:val="en-US"/>
        </w:rPr>
        <w:t>.</w:t>
      </w:r>
      <w:r w:rsidR="00CE31A9">
        <w:rPr>
          <w:rFonts w:cstheme="minorHAnsi"/>
          <w:lang w:val="en-US"/>
        </w:rPr>
        <w:t xml:space="preserve"> It is important to point out that the stabilizing effect of compound </w:t>
      </w:r>
      <w:r w:rsidR="00CE31A9" w:rsidRPr="00CE31A9">
        <w:rPr>
          <w:rFonts w:cstheme="minorHAnsi"/>
          <w:b/>
          <w:lang w:val="en-US"/>
        </w:rPr>
        <w:t>A</w:t>
      </w:r>
      <w:r w:rsidR="00CE31A9">
        <w:rPr>
          <w:rFonts w:cstheme="minorHAnsi"/>
          <w:b/>
          <w:lang w:val="en-US"/>
        </w:rPr>
        <w:t xml:space="preserve"> </w:t>
      </w:r>
      <w:r w:rsidR="00CE31A9">
        <w:rPr>
          <w:rFonts w:cstheme="minorHAnsi"/>
          <w:lang w:val="en-US"/>
        </w:rPr>
        <w:t>may very well be pH dependent, especially due to its multiple titratable sites which could result in a pH dependent protein-ligand interaction profile</w:t>
      </w:r>
      <w:r w:rsidR="000C6DCE">
        <w:rPr>
          <w:rFonts w:cstheme="minorHAnsi"/>
          <w:lang w:val="en-US"/>
        </w:rPr>
        <w:fldChar w:fldCharType="begin" w:fldLock="1"/>
      </w:r>
      <w:r w:rsidR="00E77D77">
        <w:rPr>
          <w:rFonts w:cstheme="minorHAnsi"/>
          <w:lang w:val="en-US"/>
        </w:rPr>
        <w:instrText>ADDIN CSL_CITATION {"citationItems":[{"id":"ITEM-1","itemData":{"DOI":"10.1002/biot.201400190","ISSN":"18606768","author":[{"dropping-particle":"","family":"Nuhu","given":"Mariam M.","non-dropping-particle":"","parse-names":false,"suffix":""},{"dropping-particle":"","family":"Curtis","given":"Robin","non-dropping-particle":"","parse-names":false,"suffix":""}],"container-title":"Biotechnology Journal","id":"ITEM-1","issue":"3","issued":{"date-parts":[["2015","3","1"]]},"page":"404-416","publisher":"Wiley-Blackwell","title":"Arginine dipeptides affect insulin aggregation in a pH- and ionic strength-dependent manner","type":"article-journal","volume":"10"},"uris":["http://www.mendeley.com/documents/?uuid=87d78ab8-f273-3e01-8a0d-baa67b6f041d"]}],"mendeley":{"formattedCitation":"(42)","plainTextFormattedCitation":"(42)","previouslyFormattedCitation":"&lt;sup&gt;42&lt;/sup&gt;"},"properties":{"noteIndex":0},"schema":"https://github.com/citation-style-language/schema/raw/master/csl-citation.json"}</w:instrText>
      </w:r>
      <w:r w:rsidR="000C6DCE">
        <w:rPr>
          <w:rFonts w:cstheme="minorHAnsi"/>
          <w:lang w:val="en-US"/>
        </w:rPr>
        <w:fldChar w:fldCharType="separate"/>
      </w:r>
      <w:r w:rsidR="00E77D77" w:rsidRPr="00E77D77">
        <w:rPr>
          <w:rFonts w:cstheme="minorHAnsi"/>
          <w:noProof/>
          <w:lang w:val="en-US"/>
        </w:rPr>
        <w:t>(42)</w:t>
      </w:r>
      <w:r w:rsidR="000C6DCE">
        <w:rPr>
          <w:rFonts w:cstheme="minorHAnsi"/>
          <w:lang w:val="en-US"/>
        </w:rPr>
        <w:fldChar w:fldCharType="end"/>
      </w:r>
      <w:r w:rsidR="00CE31A9">
        <w:rPr>
          <w:rFonts w:cstheme="minorHAnsi"/>
          <w:lang w:val="en-US"/>
        </w:rPr>
        <w:t>.</w:t>
      </w:r>
    </w:p>
    <w:p w14:paraId="3DF0A0C0" w14:textId="1026A0CF" w:rsidR="004E5811" w:rsidRDefault="00E02FCE" w:rsidP="00A129E5">
      <w:pPr>
        <w:spacing w:line="480" w:lineRule="auto"/>
        <w:jc w:val="both"/>
        <w:rPr>
          <w:rFonts w:cstheme="minorHAnsi"/>
          <w:lang w:val="en-US"/>
        </w:rPr>
      </w:pPr>
      <w:r>
        <w:rPr>
          <w:rFonts w:cstheme="minorHAnsi"/>
          <w:lang w:val="en-US"/>
        </w:rPr>
        <w:lastRenderedPageBreak/>
        <w:t xml:space="preserve">The </w:t>
      </w:r>
      <w:r w:rsidR="006E3203">
        <w:rPr>
          <w:rFonts w:cstheme="minorHAnsi"/>
          <w:lang w:val="en-US"/>
        </w:rPr>
        <w:t>APR-US calculations</w:t>
      </w:r>
      <w:r>
        <w:rPr>
          <w:rFonts w:cstheme="minorHAnsi"/>
          <w:lang w:val="en-US"/>
        </w:rPr>
        <w:t xml:space="preserve"> show that the affinity towards the stipulated binding site is far below the measured one</w:t>
      </w:r>
      <w:r w:rsidR="00433DB9">
        <w:rPr>
          <w:rFonts w:cstheme="minorHAnsi"/>
          <w:lang w:val="en-US"/>
        </w:rPr>
        <w:t xml:space="preserve"> (</w:t>
      </w:r>
      <w:r w:rsidR="00433DB9">
        <w:rPr>
          <w:rFonts w:cstheme="minorHAnsi"/>
          <w:lang w:val="en-US"/>
        </w:rPr>
        <w:fldChar w:fldCharType="begin"/>
      </w:r>
      <w:r w:rsidR="00433DB9">
        <w:rPr>
          <w:rFonts w:cstheme="minorHAnsi"/>
          <w:lang w:val="en-US"/>
        </w:rPr>
        <w:instrText xml:space="preserve"> REF _Ref508894959 \h </w:instrText>
      </w:r>
      <w:r w:rsidR="00433DB9">
        <w:rPr>
          <w:rFonts w:cstheme="minorHAnsi"/>
          <w:lang w:val="en-US"/>
        </w:rPr>
      </w:r>
      <w:r w:rsidR="00433DB9">
        <w:rPr>
          <w:rFonts w:cstheme="minorHAnsi"/>
          <w:lang w:val="en-US"/>
        </w:rPr>
        <w:fldChar w:fldCharType="separate"/>
      </w:r>
      <w:r w:rsidR="00941055" w:rsidRPr="00E15D14">
        <w:rPr>
          <w:lang w:val="en-US"/>
        </w:rPr>
        <w:t xml:space="preserve">Figure </w:t>
      </w:r>
      <w:r w:rsidR="00941055">
        <w:rPr>
          <w:noProof/>
          <w:lang w:val="en-US"/>
        </w:rPr>
        <w:t>3</w:t>
      </w:r>
      <w:r w:rsidR="00433DB9">
        <w:rPr>
          <w:rFonts w:cstheme="minorHAnsi"/>
          <w:lang w:val="en-US"/>
        </w:rPr>
        <w:fldChar w:fldCharType="end"/>
      </w:r>
      <w:r w:rsidR="00433DB9">
        <w:rPr>
          <w:rFonts w:cstheme="minorHAnsi"/>
          <w:lang w:val="en-US"/>
        </w:rPr>
        <w:t>)</w:t>
      </w:r>
      <w:r>
        <w:rPr>
          <w:rFonts w:cstheme="minorHAnsi"/>
          <w:lang w:val="en-US"/>
        </w:rPr>
        <w:t>. This may indicate the presence of additional binding sites with higher affinities towards the ligand. The presence of multiple binding sites could be confirmed by unrestrained simulations adding up to a free energy of binding in the same range as the one measured by MST (to be published). Limitations arise from using fixed protonation states for both the ligand and the protein, even though interactions between conformations, protein-ligand interactions and protonation states are well described. Taking these factors into account</w:t>
      </w:r>
      <w:r w:rsidR="009A4131">
        <w:rPr>
          <w:rFonts w:cstheme="minorHAnsi"/>
          <w:lang w:val="en-US"/>
        </w:rPr>
        <w:t xml:space="preserve"> </w:t>
      </w:r>
      <w:r w:rsidR="008C2D09">
        <w:rPr>
          <w:rFonts w:cstheme="minorHAnsi"/>
          <w:lang w:val="en-US"/>
        </w:rPr>
        <w:t>e.g. by constant pH MD simulations</w:t>
      </w:r>
      <w:r>
        <w:rPr>
          <w:rFonts w:cstheme="minorHAnsi"/>
          <w:lang w:val="en-US"/>
        </w:rPr>
        <w:t xml:space="preserve"> would however further increase the already large computational cost of these simulations.</w:t>
      </w:r>
    </w:p>
    <w:p w14:paraId="5353C6C8" w14:textId="1CED00B1" w:rsidR="00F41539" w:rsidRDefault="00F41539" w:rsidP="00A129E5">
      <w:pPr>
        <w:spacing w:line="480" w:lineRule="auto"/>
        <w:jc w:val="both"/>
        <w:rPr>
          <w:rFonts w:cstheme="minorHAnsi"/>
          <w:lang w:val="en-US"/>
        </w:rPr>
      </w:pPr>
      <w:r>
        <w:rPr>
          <w:rFonts w:cstheme="minorHAnsi"/>
          <w:lang w:val="en-US"/>
        </w:rPr>
        <w:t xml:space="preserve">A search in the BindingDB database for compounds with binding energies between -3 and -2 kcal/mol results in multiple Guest-Host systems, with guests similar in structure and size to compound </w:t>
      </w:r>
      <w:r w:rsidRPr="00F41539">
        <w:rPr>
          <w:rFonts w:cstheme="minorHAnsi"/>
          <w:b/>
          <w:lang w:val="en-US"/>
        </w:rPr>
        <w:t>A</w:t>
      </w:r>
      <w:r>
        <w:rPr>
          <w:rFonts w:cstheme="minorHAnsi"/>
          <w:lang w:val="en-US"/>
        </w:rPr>
        <w:t>. Compounds in the -6 to -5 kcal/mol range tend to be more hydrophobic and/or larger</w:t>
      </w:r>
      <w:r w:rsidR="002D4E0D">
        <w:rPr>
          <w:rFonts w:cstheme="minorHAnsi"/>
          <w:lang w:val="en-US"/>
        </w:rPr>
        <w:fldChar w:fldCharType="begin" w:fldLock="1"/>
      </w:r>
      <w:r w:rsidR="00E77D77">
        <w:rPr>
          <w:rFonts w:cstheme="minorHAnsi"/>
          <w:lang w:val="en-US"/>
        </w:rPr>
        <w:instrText>ADDIN CSL_CITATION {"citationItems":[{"id":"ITEM-1","itemData":{"DOI":"10.1093/nar/gkv1072","ISSN":"0305-1048","author":[{"dropping-particle":"","family":"Gilson","given":"Michael K.","non-dropping-particle":"","parse-names":false,"suffix":""},{"dropping-particle":"","family":"Liu","given":"Tiqing","non-dropping-particle":"","parse-names":false,"suffix":""},{"dropping-particle":"","family":"Baitaluk","given":"Michael","non-dropping-particle":"","parse-names":false,"suffix":""},{"dropping-particle":"","family":"Nicola","given":"George","non-dropping-particle":"","parse-names":false,"suffix":""},{"dropping-particle":"","family":"Hwang","given":"Linda","non-dropping-particle":"","parse-names":false,"suffix":""},{"dropping-particle":"","family":"Chong","given":"Jenny","non-dropping-particle":"","parse-names":false,"suffix":""}],"container-title":"Nucleic Acids Research","id":"ITEM-1","issue":"D1","issued":{"date-parts":[["2016","1","4"]]},"page":"D1045-D1053","publisher":"Oxford University Press","title":"BindingDB in 2015: A public database for medicinal chemistry, computational chemistry and systems pharmacology","type":"article-journal","volume":"44"},"uris":["http://www.mendeley.com/documents/?uuid=96222155-17b0-39e8-8a6e-e1ee7c5e09a2"]}],"mendeley":{"formattedCitation":"(43)","plainTextFormattedCitation":"(43)","previouslyFormattedCitation":"&lt;sup&gt;43&lt;/sup&gt;"},"properties":{"noteIndex":0},"schema":"https://github.com/citation-style-language/schema/raw/master/csl-citation.json"}</w:instrText>
      </w:r>
      <w:r w:rsidR="002D4E0D">
        <w:rPr>
          <w:rFonts w:cstheme="minorHAnsi"/>
          <w:lang w:val="en-US"/>
        </w:rPr>
        <w:fldChar w:fldCharType="separate"/>
      </w:r>
      <w:r w:rsidR="00E77D77" w:rsidRPr="00E77D77">
        <w:rPr>
          <w:rFonts w:cstheme="minorHAnsi"/>
          <w:noProof/>
          <w:lang w:val="en-US"/>
        </w:rPr>
        <w:t>(43)</w:t>
      </w:r>
      <w:r w:rsidR="002D4E0D">
        <w:rPr>
          <w:rFonts w:cstheme="minorHAnsi"/>
          <w:lang w:val="en-US"/>
        </w:rPr>
        <w:fldChar w:fldCharType="end"/>
      </w:r>
      <w:r>
        <w:rPr>
          <w:rFonts w:cstheme="minorHAnsi"/>
          <w:lang w:val="en-US"/>
        </w:rPr>
        <w:t>.</w:t>
      </w:r>
      <w:r w:rsidR="002D4E0D">
        <w:rPr>
          <w:rFonts w:cstheme="minorHAnsi"/>
          <w:lang w:val="en-US"/>
        </w:rPr>
        <w:t xml:space="preserve"> This indicates that the actual binding mechanism may be more complex than initially suggested.</w:t>
      </w:r>
    </w:p>
    <w:p w14:paraId="4FFDC91D" w14:textId="7334995A" w:rsidR="00AF25B6" w:rsidRDefault="004E5811" w:rsidP="00A129E5">
      <w:pPr>
        <w:spacing w:line="480" w:lineRule="auto"/>
        <w:jc w:val="both"/>
        <w:rPr>
          <w:rFonts w:cstheme="minorHAnsi"/>
          <w:lang w:val="en-US"/>
        </w:rPr>
      </w:pPr>
      <w:r>
        <w:rPr>
          <w:rFonts w:cstheme="minorHAnsi"/>
          <w:lang w:val="en-US"/>
        </w:rPr>
        <w:t>Even though we were successful in identifying a stabilizing compound, it is important to point out that we readily relied on assumptions regarding the identification of aggregation prone regions and</w:t>
      </w:r>
      <w:r w:rsidR="00CA3855">
        <w:rPr>
          <w:rFonts w:cstheme="minorHAnsi"/>
          <w:lang w:val="en-US"/>
        </w:rPr>
        <w:t xml:space="preserve"> the</w:t>
      </w:r>
      <w:r>
        <w:rPr>
          <w:rFonts w:cstheme="minorHAnsi"/>
          <w:lang w:val="en-US"/>
        </w:rPr>
        <w:t xml:space="preserve"> binding site that have yet to be proven. A3D does not take </w:t>
      </w:r>
      <w:r w:rsidR="00CA3855">
        <w:rPr>
          <w:rFonts w:cstheme="minorHAnsi"/>
          <w:lang w:val="en-US"/>
        </w:rPr>
        <w:t xml:space="preserve">the </w:t>
      </w:r>
      <w:r>
        <w:rPr>
          <w:rFonts w:cstheme="minorHAnsi"/>
          <w:lang w:val="en-US"/>
        </w:rPr>
        <w:t>electrostatics surrounding hydrophobic patches into account and was only tested on a limited amount of proteins. The differences in the stabilizing effect of the compounds depending on the nature of the force degradation study indicate a vague definition of the concept of an aggregation prone region and poses a drastic simplification to a complex phenomenon.</w:t>
      </w:r>
      <w:r w:rsidR="00177BD1">
        <w:rPr>
          <w:rFonts w:cstheme="minorHAnsi"/>
          <w:lang w:val="en-US"/>
        </w:rPr>
        <w:t xml:space="preserve"> </w:t>
      </w:r>
      <w:r w:rsidR="00AF25B6">
        <w:rPr>
          <w:rFonts w:cstheme="minorHAnsi"/>
          <w:lang w:val="en-US"/>
        </w:rPr>
        <w:t xml:space="preserve">Heat induced aggregation has been shown to induce non-native aggregation involving partial unfolding of the protein. While the compound </w:t>
      </w:r>
      <w:r w:rsidR="00AF25B6" w:rsidRPr="003F16D6">
        <w:rPr>
          <w:rFonts w:cstheme="minorHAnsi"/>
          <w:b/>
          <w:lang w:val="en-US"/>
        </w:rPr>
        <w:t>A</w:t>
      </w:r>
      <w:r w:rsidR="00AF25B6">
        <w:rPr>
          <w:rFonts w:cstheme="minorHAnsi"/>
          <w:lang w:val="en-US"/>
        </w:rPr>
        <w:t xml:space="preserve"> was shown to bind to IFN, it would not lead to a conformational stabilization as indicated by measurements of IP and T</w:t>
      </w:r>
      <w:r w:rsidR="00AF25B6" w:rsidRPr="00E40988">
        <w:rPr>
          <w:rFonts w:cstheme="minorHAnsi"/>
          <w:vertAlign w:val="subscript"/>
          <w:lang w:val="en-US"/>
        </w:rPr>
        <w:t>onset</w:t>
      </w:r>
      <w:r w:rsidR="00AF25B6">
        <w:rPr>
          <w:rFonts w:cstheme="minorHAnsi"/>
          <w:lang w:val="en-US"/>
        </w:rPr>
        <w:t xml:space="preserve">. The stabilizing effect of compound </w:t>
      </w:r>
      <w:r w:rsidR="00AF25B6" w:rsidRPr="00056F1C">
        <w:rPr>
          <w:rFonts w:cstheme="minorHAnsi"/>
          <w:b/>
          <w:lang w:val="en-US"/>
        </w:rPr>
        <w:t>A</w:t>
      </w:r>
      <w:r w:rsidR="00AF25B6">
        <w:rPr>
          <w:rFonts w:cstheme="minorHAnsi"/>
          <w:lang w:val="en-US"/>
        </w:rPr>
        <w:t xml:space="preserve"> was confirmed in a horizontal shaking stress study, ruling out a change in ice crystal formation as origin of the observation. Measurements of the compounds surface activity do not indicate a high affinity towards interfaces. Together with the observed decrease in apparent M</w:t>
      </w:r>
      <w:r w:rsidR="00AF25B6" w:rsidRPr="00AF25B6">
        <w:rPr>
          <w:rFonts w:cstheme="minorHAnsi"/>
          <w:vertAlign w:val="subscript"/>
          <w:lang w:val="en-US"/>
        </w:rPr>
        <w:t>w</w:t>
      </w:r>
      <w:r w:rsidR="00AF25B6">
        <w:rPr>
          <w:rFonts w:cstheme="minorHAnsi"/>
          <w:lang w:val="en-US"/>
        </w:rPr>
        <w:t xml:space="preserve"> from the SLS measurements in the presence of </w:t>
      </w:r>
      <w:r w:rsidR="0062200C">
        <w:rPr>
          <w:rFonts w:cstheme="minorHAnsi"/>
          <w:lang w:val="en-US"/>
        </w:rPr>
        <w:t xml:space="preserve">compound </w:t>
      </w:r>
      <w:r w:rsidR="00AF25B6" w:rsidRPr="00AF25B6">
        <w:rPr>
          <w:rFonts w:cstheme="minorHAnsi"/>
          <w:b/>
          <w:lang w:val="en-US"/>
        </w:rPr>
        <w:t>A</w:t>
      </w:r>
      <w:r w:rsidR="00AF25B6">
        <w:rPr>
          <w:rFonts w:cstheme="minorHAnsi"/>
          <w:lang w:val="en-US"/>
        </w:rPr>
        <w:t xml:space="preserve">, </w:t>
      </w:r>
      <w:r w:rsidR="00D206AE">
        <w:rPr>
          <w:rFonts w:cstheme="minorHAnsi"/>
          <w:lang w:val="en-US"/>
        </w:rPr>
        <w:t>it</w:t>
      </w:r>
      <w:r w:rsidR="00AF25B6">
        <w:rPr>
          <w:rFonts w:cstheme="minorHAnsi"/>
          <w:lang w:val="en-US"/>
        </w:rPr>
        <w:t xml:space="preserve"> supports our hypothesis of an inhibition of sub-visible particle formation by impeding the formation of specific native protein-protein contacts.</w:t>
      </w:r>
    </w:p>
    <w:p w14:paraId="56192AEF" w14:textId="745D8917" w:rsidR="009E79B2" w:rsidRPr="002C31B2" w:rsidRDefault="00177BD1" w:rsidP="00A129E5">
      <w:pPr>
        <w:spacing w:line="480" w:lineRule="auto"/>
        <w:jc w:val="both"/>
        <w:rPr>
          <w:rFonts w:cstheme="minorHAnsi"/>
          <w:lang w:val="en-US"/>
        </w:rPr>
      </w:pPr>
      <w:r>
        <w:rPr>
          <w:rFonts w:cstheme="minorHAnsi"/>
          <w:lang w:val="en-US"/>
        </w:rPr>
        <w:lastRenderedPageBreak/>
        <w:t>Previous studies have already shown the existence of a stress-structure interaction</w:t>
      </w:r>
      <w:r w:rsidR="006E3265">
        <w:rPr>
          <w:rFonts w:cstheme="minorHAnsi"/>
          <w:lang w:val="en-US"/>
        </w:rPr>
        <w:fldChar w:fldCharType="begin" w:fldLock="1"/>
      </w:r>
      <w:r w:rsidR="00E77D77">
        <w:rPr>
          <w:rFonts w:cstheme="minorHAnsi"/>
          <w:lang w:val="en-US"/>
        </w:rPr>
        <w:instrText>ADDIN CSL_CITATION {"citationItems":[{"id":"ITEM-1","itemData":{"DOI":"10.1007/s11095-011-0538-y","ISBN":"1573-904X (Electronic)\\r0724-8741 (Linking)","ISSN":"07248741","PMID":"21805212","abstract":"PURPOSE: Aggregation of monoclonal antibodies (mAbs) is a common yet poorly understood issue in therapeutic development. There remains a need for high-resolution structural information about conformational changes and intermolecular contacts during antibody aggregation.\\n\\nMETHODS: We used hydrogen exchange mass spectrometry (HX-MS) to compare the aggregation mechanism and resultant aggregate structures of the pharmaceutical antibody Bevacizumab under freeze-thaw (F/T) and thermal stresses.\\n\\nRESULTS: Bevacizumab aggregation increased with number of F/T cycles and decreased with protein concentration. HX-MS showed native-like aggregates. Conversely, thermal stress triggered non-native aggregation at temperatures below melting point of the least stable CH2 domain. Under these conditions, HX was significantly enhanced in much of the Fab fragment while being decreased relative to native HX in CDRs. Analysis of intrinsic fluorescence Trp and extrinsic ANS dye binding supported structural differences between two antibody aggregates formed by F/T vs. thermal stresses.\\n\\nCONCLUSIONS: Reduced hydrogen exchange in three CDRs suggests these residues may form strong intermolecular contacts in the antibody aggregates; regions of enhanced HX indicate unfolding. Residue level modeling methods with varying levels of atomistic detail were unable to identify aggregation patterns predictively.","author":[{"dropping-particle":"","family":"Zhang","given":"Aming","non-dropping-particle":"","parse-names":false,"suffix":""},{"dropping-particle":"","family":"Singh","given":"Satish K.","non-dropping-particle":"","parse-names":false,"suffix":""},{"dropping-particle":"","family":"Shirts","given":"Michael R.","non-dropping-particle":"","parse-names":false,"suffix":""},{"dropping-particle":"","family":"Kumar","given":"Sandeep","non-dropping-particle":"","parse-names":false,"suffix":""},{"dropping-particle":"","family":"Fernandez","given":"Erik J.","non-dropping-particle":"","parse-names":false,"suffix":""}],"container-title":"Pharmaceutical Research","id":"ITEM-1","issue":"1","issued":{"date-parts":[["2012"]]},"page":"236-250","title":"Distinct aggregation mechanisms of monoclonal antibody under thermal and freeze-thaw stresses revealed by hydrogen exchange","type":"article-journal","volume":"29"},"uris":["http://www.mendeley.com/documents/?uuid=73e0e4d4-9ad4-41c3-b46e-f30966fcc7e8"]}],"mendeley":{"formattedCitation":"(14)","plainTextFormattedCitation":"(14)","previouslyFormattedCitation":"&lt;sup&gt;14&lt;/sup&gt;"},"properties":{"noteIndex":0},"schema":"https://github.com/citation-style-language/schema/raw/master/csl-citation.json"}</w:instrText>
      </w:r>
      <w:r w:rsidR="006E3265">
        <w:rPr>
          <w:rFonts w:cstheme="minorHAnsi"/>
          <w:lang w:val="en-US"/>
        </w:rPr>
        <w:fldChar w:fldCharType="separate"/>
      </w:r>
      <w:r w:rsidR="00E77D77" w:rsidRPr="00E77D77">
        <w:rPr>
          <w:rFonts w:cstheme="minorHAnsi"/>
          <w:noProof/>
          <w:lang w:val="en-US"/>
        </w:rPr>
        <w:t>(14)</w:t>
      </w:r>
      <w:r w:rsidR="006E3265">
        <w:rPr>
          <w:rFonts w:cstheme="minorHAnsi"/>
          <w:lang w:val="en-US"/>
        </w:rPr>
        <w:fldChar w:fldCharType="end"/>
      </w:r>
      <w:r>
        <w:rPr>
          <w:rFonts w:cstheme="minorHAnsi"/>
          <w:lang w:val="en-US"/>
        </w:rPr>
        <w:t>.</w:t>
      </w:r>
      <w:r w:rsidR="006E3265">
        <w:rPr>
          <w:rFonts w:cstheme="minorHAnsi"/>
          <w:lang w:val="en-US"/>
        </w:rPr>
        <w:t xml:space="preserve"> This poses a set-back to our approach, since a novel excipient stabilizing only against a certain type of stress is not ideal.</w:t>
      </w:r>
      <w:r w:rsidR="002C31B2">
        <w:rPr>
          <w:rFonts w:cstheme="minorHAnsi"/>
          <w:lang w:val="en-US"/>
        </w:rPr>
        <w:t xml:space="preserve"> It can therefore only be considered a hypothesis that the selection of the binding</w:t>
      </w:r>
      <w:r w:rsidR="00CA3855">
        <w:rPr>
          <w:rFonts w:cstheme="minorHAnsi"/>
          <w:lang w:val="en-US"/>
        </w:rPr>
        <w:t xml:space="preserve"> site</w:t>
      </w:r>
      <w:r w:rsidR="002C31B2">
        <w:rPr>
          <w:rFonts w:cstheme="minorHAnsi"/>
          <w:lang w:val="en-US"/>
        </w:rPr>
        <w:t xml:space="preserve"> is related to the observed effects. </w:t>
      </w:r>
      <w:r w:rsidR="00CA3855">
        <w:rPr>
          <w:rFonts w:cstheme="minorHAnsi"/>
          <w:lang w:val="en-US"/>
        </w:rPr>
        <w:t>T</w:t>
      </w:r>
      <w:r w:rsidR="002C31B2">
        <w:rPr>
          <w:rFonts w:cstheme="minorHAnsi"/>
          <w:lang w:val="en-US"/>
        </w:rPr>
        <w:t xml:space="preserve">he actual binding </w:t>
      </w:r>
      <w:r w:rsidR="006F1D92">
        <w:rPr>
          <w:rFonts w:cstheme="minorHAnsi"/>
          <w:lang w:val="en-US"/>
        </w:rPr>
        <w:t>mechanism</w:t>
      </w:r>
      <w:r w:rsidR="002C31B2">
        <w:rPr>
          <w:rFonts w:cstheme="minorHAnsi"/>
          <w:lang w:val="en-US"/>
        </w:rPr>
        <w:t xml:space="preserve"> of compound </w:t>
      </w:r>
      <w:r w:rsidR="002C31B2" w:rsidRPr="002C31B2">
        <w:rPr>
          <w:rFonts w:cstheme="minorHAnsi"/>
          <w:b/>
          <w:lang w:val="en-US"/>
        </w:rPr>
        <w:t>A</w:t>
      </w:r>
      <w:r w:rsidR="002C31B2">
        <w:rPr>
          <w:rFonts w:cstheme="minorHAnsi"/>
          <w:b/>
          <w:lang w:val="en-US"/>
        </w:rPr>
        <w:t xml:space="preserve"> </w:t>
      </w:r>
      <w:r w:rsidR="002C31B2">
        <w:rPr>
          <w:rFonts w:cstheme="minorHAnsi"/>
          <w:lang w:val="en-US"/>
        </w:rPr>
        <w:t xml:space="preserve">has to be determined experimentally. </w:t>
      </w:r>
      <w:r w:rsidR="00CE31A9">
        <w:rPr>
          <w:rFonts w:cstheme="minorHAnsi"/>
          <w:lang w:val="en-US"/>
        </w:rPr>
        <w:t xml:space="preserve">Due the </w:t>
      </w:r>
      <w:r w:rsidR="00CA3855">
        <w:rPr>
          <w:rFonts w:cstheme="minorHAnsi"/>
          <w:lang w:val="en-US"/>
        </w:rPr>
        <w:t>self-association</w:t>
      </w:r>
      <w:r w:rsidR="00CE31A9">
        <w:rPr>
          <w:rFonts w:cstheme="minorHAnsi"/>
          <w:lang w:val="en-US"/>
        </w:rPr>
        <w:t xml:space="preserve"> of IFN at pH 7.0, this cannot be achieved by NMR</w:t>
      </w:r>
      <w:r w:rsidR="0000130D">
        <w:rPr>
          <w:rFonts w:cstheme="minorHAnsi"/>
          <w:lang w:val="en-US"/>
        </w:rPr>
        <w:t xml:space="preserve"> but </w:t>
      </w:r>
      <w:r w:rsidR="00FD178D">
        <w:rPr>
          <w:rFonts w:cstheme="minorHAnsi"/>
          <w:lang w:val="en-US"/>
        </w:rPr>
        <w:t>possibly</w:t>
      </w:r>
      <w:r w:rsidR="00C841B5">
        <w:rPr>
          <w:rFonts w:cstheme="minorHAnsi"/>
          <w:lang w:val="en-US"/>
        </w:rPr>
        <w:t xml:space="preserve"> by crystallographic methods</w:t>
      </w:r>
      <w:r w:rsidR="00CE31A9">
        <w:rPr>
          <w:rFonts w:cstheme="minorHAnsi"/>
          <w:lang w:val="en-US"/>
        </w:rPr>
        <w:t>.</w:t>
      </w:r>
      <w:r w:rsidR="009E79B2">
        <w:rPr>
          <w:rFonts w:cstheme="minorHAnsi"/>
          <w:lang w:val="en-US"/>
        </w:rPr>
        <w:t xml:space="preserve"> Given these insights, it seems sensible to </w:t>
      </w:r>
      <w:r w:rsidR="00CA3855">
        <w:rPr>
          <w:rFonts w:cstheme="minorHAnsi"/>
          <w:lang w:val="en-US"/>
        </w:rPr>
        <w:t>favor</w:t>
      </w:r>
      <w:r w:rsidR="009E79B2">
        <w:rPr>
          <w:rFonts w:cstheme="minorHAnsi"/>
          <w:lang w:val="en-US"/>
        </w:rPr>
        <w:t xml:space="preserve"> ligand-based approaches</w:t>
      </w:r>
      <w:r w:rsidR="00492C36">
        <w:rPr>
          <w:rFonts w:cstheme="minorHAnsi"/>
          <w:lang w:val="en-US"/>
        </w:rPr>
        <w:t xml:space="preserve"> opposed to our receptor-based approach. </w:t>
      </w:r>
      <w:r w:rsidR="00B72AEA">
        <w:rPr>
          <w:rFonts w:cstheme="minorHAnsi"/>
          <w:lang w:val="en-US"/>
        </w:rPr>
        <w:t>Establishing relevant stability indicating assays remains however a topic of ongoing research</w:t>
      </w:r>
      <w:r w:rsidR="00847ADA">
        <w:rPr>
          <w:rFonts w:cstheme="minorHAnsi"/>
          <w:lang w:val="en-US"/>
        </w:rPr>
        <w:fldChar w:fldCharType="begin" w:fldLock="1"/>
      </w:r>
      <w:r w:rsidR="00E77D77">
        <w:rPr>
          <w:rFonts w:cstheme="minorHAnsi"/>
          <w:lang w:val="en-US"/>
        </w:rPr>
        <w:instrText>ADDIN CSL_CITATION {"citationItems":[{"id":"ITEM-1","itemData":{"DOI":"10.1016/J.EJPB.2018.01.004","ISSN":"0939-6411","abstract":"Various stability indicating techniques find application in the early stage development of novel therapeutic protein candidates. Some of these techniques are used to select formulation conditions that provide high protein physical stability. Such approach is highly dependent on the reliability of the stability indicating technique used. In this work, we present a formulation case study in which we evaluate the ability of differential scanning fluorimetry (DSF) and isothermal chemical denaturation (ICD) to predict the physical stability of a model monoclonal antibody during accelerated stability studies. First, we show that a thermal denaturation technique like DSF can provide misleading physical stability rankings due to buffer specific pH shifts during heating. Next, we demonstrate how isothermal chemical denaturation can be used to tackle the above-mentioned challenge. Subsequently, we show that the concentration dependence of the Gibbs free energy of unfolding determined by ICD provides better predictions for the protein physical stability in comparison to the often-used Tm (melting temperature of the protein determined with DSF) and Cm (concentration of denaturant needed to unfold 50% of the protein determined with ICD). Finally, we give a suggestion for a rational approach which includes a combination of DSF and ICD to obtain accurate and reliable protein physical stability ranking in different formulations.","author":[{"dropping-particle":"","family":"Svilenov","given":"Hristo","non-dropping-particle":"","parse-names":false,"suffix":""},{"dropping-particle":"","family":"Markoja","given":"Uroš","non-dropping-particle":"","parse-names":false,"suffix":""},{"dropping-particle":"","family":"Winter","given":"Gerhard","non-dropping-particle":"","parse-names":false,"suffix":""}],"container-title":"European Journal of Pharmaceutics and Biopharmaceutics","id":"ITEM-1","issued":{"date-parts":[["2018","4","1"]]},"page":"106-113","publisher":"Elsevier","title":"Isothermal chemical denaturation as a complementary tool to overcome limitations of thermal differential scanning fluorimetry in predicting physical stability of protein formulations","type":"article-journal","volume":"125"},"uris":["http://www.mendeley.com/documents/?uuid=048f6a96-b666-387d-9022-71b99ec5de17"]}],"mendeley":{"formattedCitation":"(44)","plainTextFormattedCitation":"(44)","previouslyFormattedCitation":"&lt;sup&gt;44&lt;/sup&gt;"},"properties":{"noteIndex":0},"schema":"https://github.com/citation-style-language/schema/raw/master/csl-citation.json"}</w:instrText>
      </w:r>
      <w:r w:rsidR="00847ADA">
        <w:rPr>
          <w:rFonts w:cstheme="minorHAnsi"/>
          <w:lang w:val="en-US"/>
        </w:rPr>
        <w:fldChar w:fldCharType="separate"/>
      </w:r>
      <w:r w:rsidR="00E77D77" w:rsidRPr="00E77D77">
        <w:rPr>
          <w:rFonts w:cstheme="minorHAnsi"/>
          <w:noProof/>
          <w:lang w:val="en-US"/>
        </w:rPr>
        <w:t>(44)</w:t>
      </w:r>
      <w:r w:rsidR="00847ADA">
        <w:rPr>
          <w:rFonts w:cstheme="minorHAnsi"/>
          <w:lang w:val="en-US"/>
        </w:rPr>
        <w:fldChar w:fldCharType="end"/>
      </w:r>
      <w:r w:rsidR="00B72AEA">
        <w:rPr>
          <w:rFonts w:cstheme="minorHAnsi"/>
          <w:lang w:val="en-US"/>
        </w:rPr>
        <w:t>.</w:t>
      </w:r>
    </w:p>
    <w:p w14:paraId="1E910504" w14:textId="1F04F80B" w:rsidR="004E5811" w:rsidRDefault="0016586C" w:rsidP="00A129E5">
      <w:pPr>
        <w:spacing w:line="480" w:lineRule="auto"/>
        <w:jc w:val="both"/>
        <w:rPr>
          <w:rFonts w:cstheme="minorHAnsi"/>
          <w:lang w:val="en-US"/>
        </w:rPr>
      </w:pPr>
      <w:r>
        <w:rPr>
          <w:rFonts w:cstheme="minorHAnsi"/>
          <w:lang w:val="en-US"/>
        </w:rPr>
        <w:t>Given the proximity of the hotspot to the IFN’s receptor binding site, binding kinetics and clearance of the excipient are highly relevant</w:t>
      </w:r>
      <w:r w:rsidR="001C5479">
        <w:rPr>
          <w:rFonts w:cstheme="minorHAnsi"/>
          <w:lang w:val="en-US"/>
        </w:rPr>
        <w:t xml:space="preserve"> for an </w:t>
      </w:r>
      <w:r w:rsidR="001C5479" w:rsidRPr="001C5479">
        <w:rPr>
          <w:rFonts w:cstheme="minorHAnsi"/>
          <w:i/>
          <w:lang w:val="en-US"/>
        </w:rPr>
        <w:t>in-vivo</w:t>
      </w:r>
      <w:r w:rsidR="001C5479">
        <w:rPr>
          <w:rFonts w:cstheme="minorHAnsi"/>
          <w:lang w:val="en-US"/>
        </w:rPr>
        <w:t xml:space="preserve"> application</w:t>
      </w:r>
      <w:r>
        <w:rPr>
          <w:rFonts w:cstheme="minorHAnsi"/>
          <w:lang w:val="en-US"/>
        </w:rPr>
        <w:t>. A dissociation rate of the ligand</w:t>
      </w:r>
      <w:r w:rsidR="00F15402">
        <w:rPr>
          <w:rFonts w:cstheme="minorHAnsi"/>
          <w:lang w:val="en-US"/>
        </w:rPr>
        <w:t xml:space="preserve"> that would limit the </w:t>
      </w:r>
      <w:r w:rsidR="00811F23">
        <w:rPr>
          <w:rFonts w:cstheme="minorHAnsi"/>
          <w:lang w:val="en-US"/>
        </w:rPr>
        <w:t xml:space="preserve">formation </w:t>
      </w:r>
      <w:r w:rsidR="00F15402">
        <w:rPr>
          <w:rFonts w:cstheme="minorHAnsi"/>
          <w:lang w:val="en-US"/>
        </w:rPr>
        <w:t>rate of the drug-target complex</w:t>
      </w:r>
      <w:r>
        <w:rPr>
          <w:rFonts w:cstheme="minorHAnsi"/>
          <w:lang w:val="en-US"/>
        </w:rPr>
        <w:t>, i.e. a high residence time of the protein-</w:t>
      </w:r>
      <w:r w:rsidR="00811F23">
        <w:rPr>
          <w:rFonts w:cstheme="minorHAnsi"/>
          <w:lang w:val="en-US"/>
        </w:rPr>
        <w:t>excipient</w:t>
      </w:r>
      <w:r>
        <w:rPr>
          <w:rFonts w:cstheme="minorHAnsi"/>
          <w:lang w:val="en-US"/>
        </w:rPr>
        <w:t xml:space="preserve"> complex, will alter the drug’s efficacy. We are currently looking into </w:t>
      </w:r>
      <w:r w:rsidRPr="00737F9A">
        <w:rPr>
          <w:rFonts w:cstheme="minorHAnsi"/>
          <w:i/>
          <w:lang w:val="en-US"/>
        </w:rPr>
        <w:t>in-silico</w:t>
      </w:r>
      <w:r>
        <w:rPr>
          <w:rFonts w:cstheme="minorHAnsi"/>
          <w:lang w:val="en-US"/>
        </w:rPr>
        <w:t xml:space="preserve"> methods for the calculation of k</w:t>
      </w:r>
      <w:r w:rsidRPr="003C5F61">
        <w:rPr>
          <w:rFonts w:cstheme="minorHAnsi"/>
          <w:vertAlign w:val="subscript"/>
          <w:lang w:val="en-US"/>
        </w:rPr>
        <w:t>on</w:t>
      </w:r>
      <w:r>
        <w:rPr>
          <w:rFonts w:cstheme="minorHAnsi"/>
          <w:lang w:val="en-US"/>
        </w:rPr>
        <w:t>/k</w:t>
      </w:r>
      <w:r w:rsidRPr="003C5F61">
        <w:rPr>
          <w:rFonts w:cstheme="minorHAnsi"/>
          <w:vertAlign w:val="subscript"/>
          <w:lang w:val="en-US"/>
        </w:rPr>
        <w:t>off</w:t>
      </w:r>
      <w:r>
        <w:rPr>
          <w:rFonts w:cstheme="minorHAnsi"/>
          <w:lang w:val="en-US"/>
        </w:rPr>
        <w:t xml:space="preserve"> and </w:t>
      </w:r>
      <w:r w:rsidRPr="00135AC4">
        <w:rPr>
          <w:rFonts w:cstheme="minorHAnsi"/>
          <w:i/>
          <w:lang w:val="en-US"/>
        </w:rPr>
        <w:t>in-vitro</w:t>
      </w:r>
      <w:r>
        <w:rPr>
          <w:rFonts w:cstheme="minorHAnsi"/>
          <w:lang w:val="en-US"/>
        </w:rPr>
        <w:t xml:space="preserve"> activity assays.</w:t>
      </w:r>
    </w:p>
    <w:p w14:paraId="3C7A3D66" w14:textId="1CAC839B" w:rsidR="00E226A4" w:rsidRPr="00783DB8" w:rsidRDefault="00783DB8" w:rsidP="00A129E5">
      <w:pPr>
        <w:spacing w:line="480" w:lineRule="auto"/>
        <w:jc w:val="both"/>
        <w:rPr>
          <w:lang w:val="en-US"/>
        </w:rPr>
      </w:pPr>
      <w:r>
        <w:rPr>
          <w:lang w:val="en-US"/>
        </w:rPr>
        <w:t>For drug products, toxicity of the excipient candidates remains a critical point. A specifically designed database containing only compounds with a proven record of low toxicity could help to overcome this problem. Considering however the low hit rate in the virtual screen</w:t>
      </w:r>
      <w:r w:rsidR="00737F9A">
        <w:rPr>
          <w:lang w:val="en-US"/>
        </w:rPr>
        <w:t>,</w:t>
      </w:r>
      <w:r>
        <w:rPr>
          <w:lang w:val="en-US"/>
        </w:rPr>
        <w:t xml:space="preserve"> further limiting the screened chemical space</w:t>
      </w:r>
      <w:r w:rsidR="00CA36C1">
        <w:rPr>
          <w:lang w:val="en-US"/>
        </w:rPr>
        <w:t xml:space="preserve"> might cause the elimination of any potential binders. Additional </w:t>
      </w:r>
      <w:r w:rsidR="00CA36C1" w:rsidRPr="00737F9A">
        <w:rPr>
          <w:i/>
          <w:lang w:val="en-US"/>
        </w:rPr>
        <w:t>in-silico</w:t>
      </w:r>
      <w:r w:rsidR="00CA36C1">
        <w:rPr>
          <w:lang w:val="en-US"/>
        </w:rPr>
        <w:t xml:space="preserve"> methods to predict toxicity can be considered</w:t>
      </w:r>
      <w:r w:rsidR="005C5586">
        <w:rPr>
          <w:lang w:val="en-US"/>
        </w:rPr>
        <w:t xml:space="preserve">, </w:t>
      </w:r>
      <w:r w:rsidR="00D902AC">
        <w:rPr>
          <w:lang w:val="en-US"/>
        </w:rPr>
        <w:t>always taking resulting</w:t>
      </w:r>
      <w:r w:rsidR="005C5586">
        <w:rPr>
          <w:lang w:val="en-US"/>
        </w:rPr>
        <w:t xml:space="preserve"> metabolites into consideration</w:t>
      </w:r>
      <w:r w:rsidR="00CA36C1">
        <w:rPr>
          <w:lang w:val="en-US"/>
        </w:rPr>
        <w:t xml:space="preserve">. </w:t>
      </w:r>
      <w:r w:rsidR="0016586C">
        <w:rPr>
          <w:lang w:val="en-US"/>
        </w:rPr>
        <w:t>Nevertheless, the</w:t>
      </w:r>
      <w:r w:rsidR="00CA36C1">
        <w:rPr>
          <w:lang w:val="en-US"/>
        </w:rPr>
        <w:t xml:space="preserve"> discovered compound could </w:t>
      </w:r>
      <w:r w:rsidR="00683F0C">
        <w:rPr>
          <w:lang w:val="en-US"/>
        </w:rPr>
        <w:t xml:space="preserve">immediately </w:t>
      </w:r>
      <w:r w:rsidR="00CA36C1">
        <w:rPr>
          <w:lang w:val="en-US"/>
        </w:rPr>
        <w:t xml:space="preserve">be used in diagnostic devices without the need for additional toxicity studies. While IFN is currently not </w:t>
      </w:r>
      <w:r w:rsidR="00683F0C">
        <w:rPr>
          <w:lang w:val="en-US"/>
        </w:rPr>
        <w:t>a typical reagent</w:t>
      </w:r>
      <w:r w:rsidR="00CA36C1">
        <w:rPr>
          <w:lang w:val="en-US"/>
        </w:rPr>
        <w:t xml:space="preserve"> in diagnostic</w:t>
      </w:r>
      <w:r w:rsidR="00683F0C">
        <w:rPr>
          <w:lang w:val="en-US"/>
        </w:rPr>
        <w:t>s</w:t>
      </w:r>
      <w:r w:rsidR="00CA36C1">
        <w:rPr>
          <w:lang w:val="en-US"/>
        </w:rPr>
        <w:t>, our approach can easily be transferred to any other relevant protein.</w:t>
      </w:r>
    </w:p>
    <w:p w14:paraId="38924ED1" w14:textId="77777777" w:rsidR="005F0550" w:rsidRDefault="005F0550" w:rsidP="00A129E5">
      <w:pPr>
        <w:spacing w:line="480" w:lineRule="auto"/>
        <w:rPr>
          <w:b/>
          <w:lang w:val="en-US"/>
        </w:rPr>
      </w:pPr>
      <w:r w:rsidRPr="005F0550">
        <w:rPr>
          <w:b/>
          <w:lang w:val="en-US"/>
        </w:rPr>
        <w:t>Conclusion</w:t>
      </w:r>
    </w:p>
    <w:p w14:paraId="099A919A" w14:textId="5329CED6" w:rsidR="00173563" w:rsidRDefault="004C54C6" w:rsidP="00A129E5">
      <w:pPr>
        <w:spacing w:line="480" w:lineRule="auto"/>
        <w:jc w:val="both"/>
        <w:rPr>
          <w:lang w:val="en-US"/>
        </w:rPr>
      </w:pPr>
      <w:r>
        <w:rPr>
          <w:lang w:val="en-US"/>
        </w:rPr>
        <w:t>Here, w</w:t>
      </w:r>
      <w:r w:rsidR="00CA36C1">
        <w:rPr>
          <w:lang w:val="en-US"/>
        </w:rPr>
        <w:t xml:space="preserve">e </w:t>
      </w:r>
      <w:r w:rsidR="00CA5CD2">
        <w:rPr>
          <w:lang w:val="en-US"/>
        </w:rPr>
        <w:t>describe a</w:t>
      </w:r>
      <w:r w:rsidR="00362676">
        <w:rPr>
          <w:lang w:val="en-US"/>
        </w:rPr>
        <w:t xml:space="preserve"> structure-based </w:t>
      </w:r>
      <w:r w:rsidR="00CA5CD2">
        <w:rPr>
          <w:lang w:val="en-US"/>
        </w:rPr>
        <w:t xml:space="preserve">approach that was </w:t>
      </w:r>
      <w:r w:rsidR="00CA36C1">
        <w:rPr>
          <w:lang w:val="en-US"/>
        </w:rPr>
        <w:t>successful</w:t>
      </w:r>
      <w:r w:rsidR="00362676">
        <w:rPr>
          <w:lang w:val="en-US"/>
        </w:rPr>
        <w:t xml:space="preserve"> in </w:t>
      </w:r>
      <w:r w:rsidR="00CA36C1">
        <w:rPr>
          <w:lang w:val="en-US"/>
        </w:rPr>
        <w:t>discover</w:t>
      </w:r>
      <w:r w:rsidR="00362676">
        <w:rPr>
          <w:lang w:val="en-US"/>
        </w:rPr>
        <w:t>ing a</w:t>
      </w:r>
      <w:r w:rsidR="003D461C">
        <w:rPr>
          <w:lang w:val="en-US"/>
        </w:rPr>
        <w:t xml:space="preserve"> </w:t>
      </w:r>
      <w:r w:rsidR="00362676">
        <w:rPr>
          <w:lang w:val="en-US"/>
        </w:rPr>
        <w:t>small organic molecule</w:t>
      </w:r>
      <w:r w:rsidR="00CA36C1">
        <w:rPr>
          <w:lang w:val="en-US"/>
        </w:rPr>
        <w:t xml:space="preserve"> that </w:t>
      </w:r>
      <w:r w:rsidR="003D461C">
        <w:rPr>
          <w:lang w:val="en-US"/>
        </w:rPr>
        <w:t xml:space="preserve">stabilizes </w:t>
      </w:r>
      <w:r w:rsidR="00362676">
        <w:rPr>
          <w:lang w:val="en-US"/>
        </w:rPr>
        <w:t>Interferon-alpha-2a</w:t>
      </w:r>
      <w:r w:rsidR="0015287E">
        <w:rPr>
          <w:lang w:val="en-US"/>
        </w:rPr>
        <w:t xml:space="preserve"> and</w:t>
      </w:r>
      <w:r w:rsidR="00CA36C1">
        <w:rPr>
          <w:lang w:val="en-US"/>
        </w:rPr>
        <w:t xml:space="preserve"> </w:t>
      </w:r>
      <w:r w:rsidR="0015287E">
        <w:rPr>
          <w:lang w:val="en-US"/>
        </w:rPr>
        <w:t>confirmed the hypothesis that the formation of a protein-ligand complex can lead to an inhibition of aggregation and particle formation.</w:t>
      </w:r>
      <w:r w:rsidR="00683F0C">
        <w:rPr>
          <w:lang w:val="en-US"/>
        </w:rPr>
        <w:t xml:space="preserve"> Our systematic </w:t>
      </w:r>
      <w:r w:rsidR="00683F0C">
        <w:rPr>
          <w:lang w:val="en-US"/>
        </w:rPr>
        <w:lastRenderedPageBreak/>
        <w:t xml:space="preserve">approach helped us to narrow down a database of millions of compounds to merely five. </w:t>
      </w:r>
      <w:r w:rsidR="006E3203">
        <w:rPr>
          <w:lang w:val="en-US"/>
        </w:rPr>
        <w:t xml:space="preserve"> </w:t>
      </w:r>
      <w:r w:rsidR="00362676">
        <w:rPr>
          <w:lang w:val="en-US"/>
        </w:rPr>
        <w:t>The</w:t>
      </w:r>
      <w:r w:rsidR="00CA36C1">
        <w:rPr>
          <w:lang w:val="en-US"/>
        </w:rPr>
        <w:t xml:space="preserve"> compound </w:t>
      </w:r>
      <w:r w:rsidR="00714938">
        <w:rPr>
          <w:lang w:val="en-US"/>
        </w:rPr>
        <w:t>glyc</w:t>
      </w:r>
      <w:r w:rsidR="00A858B0">
        <w:rPr>
          <w:lang w:val="en-US"/>
        </w:rPr>
        <w:t>yl</w:t>
      </w:r>
      <w:r w:rsidR="00714938">
        <w:rPr>
          <w:lang w:val="en-US"/>
        </w:rPr>
        <w:t>-D-aspara</w:t>
      </w:r>
      <w:r w:rsidR="00A858B0">
        <w:rPr>
          <w:lang w:val="en-US"/>
        </w:rPr>
        <w:t xml:space="preserve">gine </w:t>
      </w:r>
      <w:r w:rsidR="00CA36C1">
        <w:rPr>
          <w:lang w:val="en-US"/>
        </w:rPr>
        <w:t xml:space="preserve">reduces </w:t>
      </w:r>
      <w:r w:rsidR="003D461C">
        <w:rPr>
          <w:lang w:val="en-US"/>
        </w:rPr>
        <w:t xml:space="preserve">the formation of sub-visible </w:t>
      </w:r>
      <w:r w:rsidR="00CA36C1">
        <w:rPr>
          <w:lang w:val="en-US"/>
        </w:rPr>
        <w:t>particle</w:t>
      </w:r>
      <w:r w:rsidR="003D461C">
        <w:rPr>
          <w:lang w:val="en-US"/>
        </w:rPr>
        <w:t>s</w:t>
      </w:r>
      <w:r w:rsidR="00CA36C1">
        <w:rPr>
          <w:lang w:val="en-US"/>
        </w:rPr>
        <w:t xml:space="preserve"> and </w:t>
      </w:r>
      <w:r w:rsidR="003D461C">
        <w:rPr>
          <w:lang w:val="en-US"/>
        </w:rPr>
        <w:t xml:space="preserve">soluble </w:t>
      </w:r>
      <w:r w:rsidR="00CA36C1">
        <w:rPr>
          <w:lang w:val="en-US"/>
        </w:rPr>
        <w:t>aggrega</w:t>
      </w:r>
      <w:r w:rsidR="003D461C">
        <w:rPr>
          <w:lang w:val="en-US"/>
        </w:rPr>
        <w:t>tes after freeze-thaw</w:t>
      </w:r>
      <w:r w:rsidR="00362676">
        <w:rPr>
          <w:lang w:val="en-US"/>
        </w:rPr>
        <w:t xml:space="preserve"> and </w:t>
      </w:r>
      <w:r w:rsidR="00A858B0">
        <w:rPr>
          <w:lang w:val="en-US"/>
        </w:rPr>
        <w:t>agitation</w:t>
      </w:r>
      <w:r w:rsidR="003D461C">
        <w:rPr>
          <w:lang w:val="en-US"/>
        </w:rPr>
        <w:t xml:space="preserve"> stress </w:t>
      </w:r>
      <w:r w:rsidR="00362676">
        <w:rPr>
          <w:lang w:val="en-US"/>
        </w:rPr>
        <w:t>in a concentration dependent manner that correlates well with its binding affinity towards IFN</w:t>
      </w:r>
      <w:r w:rsidR="003D461C">
        <w:rPr>
          <w:lang w:val="en-US"/>
        </w:rPr>
        <w:t>.</w:t>
      </w:r>
      <w:r w:rsidR="00A858B0">
        <w:rPr>
          <w:lang w:val="en-US"/>
        </w:rPr>
        <w:t xml:space="preserve"> It shows higher stabilizing activity than </w:t>
      </w:r>
      <w:r>
        <w:rPr>
          <w:lang w:val="en-US"/>
        </w:rPr>
        <w:t xml:space="preserve">its enantiomer </w:t>
      </w:r>
      <w:r w:rsidR="00A858B0">
        <w:rPr>
          <w:lang w:val="en-US"/>
        </w:rPr>
        <w:t>glycyl-L-asparagine and the standard excipients L-arginine and D(+)-trehalose.</w:t>
      </w:r>
      <w:r w:rsidR="003D461C">
        <w:rPr>
          <w:lang w:val="en-US"/>
        </w:rPr>
        <w:t xml:space="preserve"> </w:t>
      </w:r>
      <w:r w:rsidR="00362676">
        <w:rPr>
          <w:lang w:val="en-US"/>
        </w:rPr>
        <w:t xml:space="preserve">We gave a new use to tools that are developed with </w:t>
      </w:r>
      <w:r w:rsidR="0015287E">
        <w:rPr>
          <w:lang w:val="en-US"/>
        </w:rPr>
        <w:t>small molecule</w:t>
      </w:r>
      <w:r w:rsidR="00362676">
        <w:rPr>
          <w:lang w:val="en-US"/>
        </w:rPr>
        <w:t xml:space="preserve"> drug discovery in mind and show how they can be applied to therapeutic protein</w:t>
      </w:r>
      <w:r w:rsidR="00B86A80">
        <w:rPr>
          <w:lang w:val="en-US"/>
        </w:rPr>
        <w:t xml:space="preserve"> formulation development</w:t>
      </w:r>
      <w:r w:rsidR="00362676">
        <w:rPr>
          <w:lang w:val="en-US"/>
        </w:rPr>
        <w:t xml:space="preserve">. While </w:t>
      </w:r>
      <w:r w:rsidR="00AB6CAF">
        <w:rPr>
          <w:lang w:val="en-US"/>
        </w:rPr>
        <w:t xml:space="preserve">a </w:t>
      </w:r>
      <w:r w:rsidR="006C1A31">
        <w:rPr>
          <w:lang w:val="en-US"/>
        </w:rPr>
        <w:t>drug discovery campaign targets protein</w:t>
      </w:r>
      <w:r w:rsidR="00362676">
        <w:rPr>
          <w:lang w:val="en-US"/>
        </w:rPr>
        <w:t xml:space="preserve"> linked to a disease, here the drug protein itself is the target. </w:t>
      </w:r>
    </w:p>
    <w:p w14:paraId="7657EE1D" w14:textId="77777777" w:rsidR="003F11C6" w:rsidRDefault="003F11C6" w:rsidP="003F11C6">
      <w:pPr>
        <w:spacing w:line="480" w:lineRule="auto"/>
        <w:jc w:val="both"/>
        <w:rPr>
          <w:b/>
          <w:lang w:val="en-US"/>
        </w:rPr>
      </w:pPr>
      <w:r w:rsidRPr="005F0550">
        <w:rPr>
          <w:b/>
          <w:lang w:val="en-US"/>
        </w:rPr>
        <w:t>Methods</w:t>
      </w:r>
    </w:p>
    <w:p w14:paraId="2656D4CF" w14:textId="77777777" w:rsidR="003F11C6" w:rsidRDefault="003F11C6" w:rsidP="003F11C6">
      <w:pPr>
        <w:spacing w:line="480" w:lineRule="auto"/>
        <w:jc w:val="both"/>
        <w:rPr>
          <w:i/>
          <w:u w:val="single"/>
          <w:lang w:val="en-US"/>
        </w:rPr>
      </w:pPr>
      <w:r w:rsidRPr="009E2A7D">
        <w:rPr>
          <w:i/>
          <w:u w:val="single"/>
          <w:lang w:val="en-US"/>
        </w:rPr>
        <w:t>Virtual Screen</w:t>
      </w:r>
    </w:p>
    <w:p w14:paraId="6C2ECFDB" w14:textId="73D190B1" w:rsidR="003F11C6" w:rsidRDefault="003F11C6" w:rsidP="003F11C6">
      <w:pPr>
        <w:spacing w:line="480" w:lineRule="auto"/>
        <w:jc w:val="both"/>
        <w:rPr>
          <w:lang w:val="en-US"/>
        </w:rPr>
      </w:pPr>
      <w:r>
        <w:rPr>
          <w:lang w:val="en-US"/>
        </w:rPr>
        <w:t>A homology model of IFN was generated based on the PDB entry 4Z5R using Modeller</w:t>
      </w:r>
      <w:r>
        <w:rPr>
          <w:lang w:val="en-US"/>
        </w:rPr>
        <w:fldChar w:fldCharType="begin" w:fldLock="1"/>
      </w:r>
      <w:r w:rsidR="00E77D77">
        <w:rPr>
          <w:lang w:val="en-US"/>
        </w:rPr>
        <w:instrText>ADDIN CSL_CITATION {"citationItems":[{"id":"ITEM-1","itemData":{"abstract":"Modeller: A Program for Protein Structure Modeling Release 9.11, r8834: INtro starts page 23","author":[{"dropping-particle":"","family":"Andrej Šali","given":"","non-dropping-particle":"","parse-names":false,"suffix":""}],"container-title":"Comparative protein modelling by satisfaction of spatial restraints.","id":"ITEM-1","issued":{"date-parts":[["1993"]]},"page":"779-815","title":"MODELLER A Program for Protein Structure Modeling","type":"article-journal"},"uris":["http://www.mendeley.com/documents/?uuid=dee23c9b-82f8-48bc-b258-b3a8a18b3aca"]}],"mendeley":{"formattedCitation":"(45)","plainTextFormattedCitation":"(45)","previouslyFormattedCitation":"&lt;sup&gt;45&lt;/sup&gt;"},"properties":{"noteIndex":0},"schema":"https://github.com/citation-style-language/schema/raw/master/csl-citation.json"}</w:instrText>
      </w:r>
      <w:r>
        <w:rPr>
          <w:lang w:val="en-US"/>
        </w:rPr>
        <w:fldChar w:fldCharType="separate"/>
      </w:r>
      <w:r w:rsidR="00E77D77" w:rsidRPr="00E77D77">
        <w:rPr>
          <w:noProof/>
          <w:lang w:val="en-US"/>
        </w:rPr>
        <w:t>(45)</w:t>
      </w:r>
      <w:r>
        <w:rPr>
          <w:lang w:val="en-US"/>
        </w:rPr>
        <w:fldChar w:fldCharType="end"/>
      </w:r>
      <w:r>
        <w:rPr>
          <w:lang w:val="en-US"/>
        </w:rPr>
        <w:t>. A potential aggregation hotspot was identified by submitting the homology model to the Aggrescan3D server</w:t>
      </w:r>
      <w:r w:rsidR="0069727E">
        <w:rPr>
          <w:lang w:val="en-US"/>
        </w:rPr>
        <w:fldChar w:fldCharType="begin" w:fldLock="1"/>
      </w:r>
      <w:r w:rsidR="00E77D77">
        <w:rPr>
          <w:lang w:val="en-US"/>
        </w:rPr>
        <w:instrText>ADDIN CSL_CITATION {"citationItems":[{"id":"ITEM-1","itemData":{"DOI":"10.1093/nar/gkv359","ISSN":"13624962","PMID":"25883144","abstract":"Protein aggregation underlies an increasing number of disorders and constitutes a major bottleneck in the development of therapeutic proteins. Our present understanding on the molecular determinants of protein aggregation has crystalized in a series of predictive algorithms to identify aggregation-prone sites. A majority of these methods rely only on sequence. Therefore, they find difficulties to predict the aggregation properties of folded globular proteins, where aggregation-prone sites are often not contiguous in sequence or buried inside the native structure. The AGGRESCAN3D (A3D) server overcomes these limitations by taking into account the protein structure and the experimental aggregation propensity scale from the well-established AGGRESCAN method. Using the A3D server, the identified aggregation-prone residues can be virtually mutated to design variants with increased solubility, or to test the impact of pathogenic mutations. Additionally, A3D server enables to take into account the dynamic fluctuations of protein structure in solution, which may influence aggregation propensity. This is possible in A3D Dynamic Mode that exploits the CABS-flex approach for the fast simulations of flexibility of globular proteins. The A3D server can be accessed at http://biocomp.chem.uw.edu.pl/A3D/.","author":[{"dropping-particle":"","family":"Zambrano","given":"Rafael","non-dropping-particle":"","parse-names":false,"suffix":""},{"dropping-particle":"","family":"Jamroz","given":"Michal","non-dropping-particle":"","parse-names":false,"suffix":""},{"dropping-particle":"","family":"Szczasiuk","given":"Agata","non-dropping-particle":"","parse-names":false,"suffix":""},{"dropping-particle":"","family":"Pujols","given":"Jordi","non-dropping-particle":"","parse-names":false,"suffix":""},{"dropping-particle":"","family":"Kmiecik","given":"Sebastian","non-dropping-particle":"","parse-names":false,"suffix":""},{"dropping-particle":"","family":"Ventura","given":"Salvador","non-dropping-particle":"","parse-names":false,"suffix":""}],"container-title":"Nucleic Acids Research","id":"ITEM-1","issue":"W1","issued":{"date-parts":[["2015"]]},"page":"W306-W313","title":"AGGRESCAN3D (A3D): Server for prediction of aggregation properties of protein structures","type":"article-journal","volume":"43"},"uris":["http://www.mendeley.com/documents/?uuid=f3ea0ee1-345a-493e-a7db-f3d355a3bbc9"]}],"mendeley":{"formattedCitation":"(8)","plainTextFormattedCitation":"(8)","previouslyFormattedCitation":"&lt;sup&gt;8&lt;/sup&gt;"},"properties":{"noteIndex":0},"schema":"https://github.com/citation-style-language/schema/raw/master/csl-citation.json"}</w:instrText>
      </w:r>
      <w:r w:rsidR="0069727E">
        <w:rPr>
          <w:lang w:val="en-US"/>
        </w:rPr>
        <w:fldChar w:fldCharType="separate"/>
      </w:r>
      <w:r w:rsidR="00E77D77" w:rsidRPr="00E77D77">
        <w:rPr>
          <w:noProof/>
          <w:lang w:val="en-US"/>
        </w:rPr>
        <w:t>(8)</w:t>
      </w:r>
      <w:r w:rsidR="0069727E">
        <w:rPr>
          <w:lang w:val="en-US"/>
        </w:rPr>
        <w:fldChar w:fldCharType="end"/>
      </w:r>
      <w:r>
        <w:rPr>
          <w:lang w:val="en-US"/>
        </w:rPr>
        <w:t xml:space="preserve">. </w:t>
      </w:r>
    </w:p>
    <w:p w14:paraId="5AE8E969" w14:textId="5FEFB4DD" w:rsidR="003F11C6" w:rsidRDefault="003F11C6" w:rsidP="003F11C6">
      <w:pPr>
        <w:spacing w:line="480" w:lineRule="auto"/>
        <w:jc w:val="both"/>
        <w:rPr>
          <w:lang w:val="en-US"/>
        </w:rPr>
      </w:pPr>
      <w:r>
        <w:rPr>
          <w:lang w:val="en-US"/>
        </w:rPr>
        <w:t xml:space="preserve">The protein structure of IFN was prepared for docking using Maestro’s (Schrödinger, Inc., New York, New York, USA) protein preparation wizard with pH set to 7.0. Maestro was used to generate a docking grid using the </w:t>
      </w:r>
      <w:r w:rsidR="0069727E">
        <w:rPr>
          <w:lang w:val="en-US"/>
        </w:rPr>
        <w:t xml:space="preserve">residues that are located in the </w:t>
      </w:r>
      <w:r>
        <w:rPr>
          <w:lang w:val="en-US"/>
        </w:rPr>
        <w:t xml:space="preserve">identified aggregation hotspot as grid center. The ZINC15 database tranches were selected to include only compounds with a </w:t>
      </w:r>
      <m:oMath>
        <m:sSub>
          <m:sSubPr>
            <m:ctrlPr>
              <w:rPr>
                <w:rFonts w:ascii="Cambria Math" w:hAnsi="Cambria Math"/>
                <w:i/>
                <w:lang w:val="en-US"/>
              </w:rPr>
            </m:ctrlPr>
          </m:sSubPr>
          <m:e>
            <m:r>
              <w:rPr>
                <w:rFonts w:ascii="Cambria Math" w:hAnsi="Cambria Math"/>
                <w:lang w:val="en-US"/>
              </w:rPr>
              <m:t>log</m:t>
            </m:r>
          </m:e>
          <m:sub>
            <m:r>
              <w:rPr>
                <w:rFonts w:ascii="Cambria Math" w:hAnsi="Cambria Math"/>
                <w:lang w:val="en-US"/>
              </w:rPr>
              <m:t>10</m:t>
            </m:r>
          </m:sub>
        </m:sSub>
        <m:r>
          <w:rPr>
            <w:rFonts w:ascii="Cambria Math" w:hAnsi="Cambria Math"/>
            <w:lang w:val="en-US"/>
          </w:rPr>
          <m:t>P</m:t>
        </m:r>
      </m:oMath>
      <w:r>
        <w:rPr>
          <w:lang w:val="en-US"/>
        </w:rPr>
        <w:t xml:space="preserve"> </w:t>
      </w:r>
      <w:r>
        <w:rPr>
          <w:rFonts w:cstheme="minorHAnsi"/>
          <w:lang w:val="en-US"/>
        </w:rPr>
        <w:t>≤ </w:t>
      </w:r>
      <w:r>
        <w:rPr>
          <w:lang w:val="en-US"/>
        </w:rPr>
        <w:t xml:space="preserve"> -1, “in-stock” availability and standard reactivity. The compounds were then prepared for docking using LigPrep as implemented in Maestro. Qikprop was used to predict the compounds physicochemical properties and only compounds with a </w:t>
      </w:r>
      <m:oMath>
        <m:sSub>
          <m:sSubPr>
            <m:ctrlPr>
              <w:rPr>
                <w:rFonts w:ascii="Cambria Math" w:hAnsi="Cambria Math"/>
                <w:i/>
                <w:lang w:val="en-US"/>
              </w:rPr>
            </m:ctrlPr>
          </m:sSubPr>
          <m:e>
            <m:r>
              <w:rPr>
                <w:rFonts w:ascii="Cambria Math" w:hAnsi="Cambria Math"/>
                <w:lang w:val="en-US"/>
              </w:rPr>
              <m:t>log</m:t>
            </m:r>
          </m:e>
          <m:sub>
            <m:r>
              <w:rPr>
                <w:rFonts w:ascii="Cambria Math" w:hAnsi="Cambria Math"/>
                <w:lang w:val="en-US"/>
              </w:rPr>
              <m:t>10</m:t>
            </m:r>
          </m:sub>
        </m:sSub>
        <m:r>
          <w:rPr>
            <w:rFonts w:ascii="Cambria Math" w:hAnsi="Cambria Math"/>
            <w:lang w:val="en-US"/>
          </w:rPr>
          <m:t>S</m:t>
        </m:r>
      </m:oMath>
      <w:r>
        <w:rPr>
          <w:lang w:val="en-US"/>
        </w:rPr>
        <w:t xml:space="preserve"> value </w:t>
      </w:r>
      <w:r>
        <w:rPr>
          <w:rFonts w:cstheme="minorHAnsi"/>
          <w:lang w:val="en-US"/>
        </w:rPr>
        <w:t>≥</w:t>
      </w:r>
      <w:r>
        <w:rPr>
          <w:lang w:val="en-US"/>
        </w:rPr>
        <w:t> -1 were retained. All compounds were then docked with Glide HT. The best scoring 10 % were then redocked and scored with GlideSP. The best scoring 10 % were redocked and rescored using GlideXP and up to 3 poses per compound were generated. These poses were rescored using the Prime MM-GBSA model. We then looked manually for substances available for purchase below 200€/g.</w:t>
      </w:r>
    </w:p>
    <w:p w14:paraId="344F4DDE" w14:textId="77777777" w:rsidR="003F11C6" w:rsidRPr="00645847" w:rsidRDefault="003F11C6" w:rsidP="003F11C6">
      <w:pPr>
        <w:spacing w:line="480" w:lineRule="auto"/>
        <w:jc w:val="both"/>
        <w:rPr>
          <w:i/>
          <w:u w:val="single"/>
          <w:lang w:val="en-US"/>
        </w:rPr>
      </w:pPr>
      <w:r w:rsidRPr="00645847">
        <w:rPr>
          <w:i/>
          <w:u w:val="single"/>
          <w:lang w:val="en-US"/>
        </w:rPr>
        <w:t>Sample Preparation</w:t>
      </w:r>
    </w:p>
    <w:p w14:paraId="616B06A0" w14:textId="5BCA38E8" w:rsidR="003F11C6" w:rsidRDefault="003F11C6" w:rsidP="003F11C6">
      <w:pPr>
        <w:spacing w:line="480" w:lineRule="auto"/>
        <w:jc w:val="both"/>
        <w:rPr>
          <w:lang w:val="en-US"/>
        </w:rPr>
      </w:pPr>
      <w:r>
        <w:rPr>
          <w:lang w:val="en-US"/>
        </w:rPr>
        <w:lastRenderedPageBreak/>
        <w:t xml:space="preserve">An aqueous bulk solution of </w:t>
      </w:r>
      <w:r w:rsidRPr="00572D4E">
        <w:rPr>
          <w:lang w:val="en-US"/>
        </w:rPr>
        <w:t xml:space="preserve">Interferon-alpha-2a </w:t>
      </w:r>
      <w:r>
        <w:rPr>
          <w:lang w:val="en-US"/>
        </w:rPr>
        <w:t>(</w:t>
      </w:r>
      <w:r w:rsidRPr="00572D4E">
        <w:rPr>
          <w:lang w:val="en-US"/>
        </w:rPr>
        <w:t>Roche, Penzberg) was dialysed</w:t>
      </w:r>
      <w:r>
        <w:rPr>
          <w:lang w:val="en-US"/>
        </w:rPr>
        <w:t xml:space="preserve"> (Spectra-Por)</w:t>
      </w:r>
      <w:r w:rsidRPr="00572D4E">
        <w:rPr>
          <w:lang w:val="en-US"/>
        </w:rPr>
        <w:t xml:space="preserve"> into</w:t>
      </w:r>
      <w:r>
        <w:rPr>
          <w:lang w:val="en-US"/>
        </w:rPr>
        <w:t xml:space="preserve"> 50 mM Pi (di-Sodium hydrogen phosphate dihydrate: VWR Chemicals, Leuven, Sodium di-hydrogenphosphate dihydrate: Grüssing GmbH, Filsum) buffer at pH 7.0. The solution was filtered </w:t>
      </w:r>
      <w:r w:rsidR="0069727E">
        <w:rPr>
          <w:lang w:val="en-US"/>
        </w:rPr>
        <w:t>using</w:t>
      </w:r>
      <w:r>
        <w:rPr>
          <w:lang w:val="en-US"/>
        </w:rPr>
        <w:t xml:space="preserve"> a 0.22 µm cellulose acetate filter (VWR Chemicals, Leuven), which were shown to be low protein binding</w:t>
      </w:r>
      <w:r>
        <w:rPr>
          <w:lang w:val="en-US"/>
        </w:rPr>
        <w:fldChar w:fldCharType="begin" w:fldLock="1"/>
      </w:r>
      <w:r w:rsidR="00E77D77">
        <w:rPr>
          <w:lang w:val="en-US"/>
        </w:rPr>
        <w:instrText>ADDIN CSL_CITATION {"citationItems":[{"id":"ITEM-1","itemData":{"DOI":"10.1002/JPS.22045","ISSN":"0022-3549","abstract":"Formulations of therapeutic proteins usually contain a surfactant such as polysorbate 80 to protect them against interfacial stresses. Since surfactants may interact with surfaces, the aim of the present work was to study the adsorption behavior of low concentrations of polysorbate 80 and of a monoclonal antibody during sterile filtration. Lab-scale tests were performed to study the adsorption behavior of a monoclonal antibody to different filter materials (PVDF, PES, CA, and Nylon) from different suppliers. Subsequently, protein and polysorbate 80 adsorption were tested in manufacturing scale experiments. It was found that the extent of protein adsorption differed with filter materials, but also with different suppliers. Prominently, Nylon filters showed the highest degree of protein adsorption. In manufacturing-scale filtration experiments, significant adsorption of polysorbate 80 to sterilizing-grade filters was found. Thus, the adsorption of both protein and polysorbate to filters should be taken into consideration in the formulation and manufacturing process and assessed on a case-by-case basis depending on the manufacturing process set-up.","author":[{"dropping-particle":"","family":"Mahler","given":"Hanns-Christian","non-dropping-particle":"","parse-names":false,"suffix":""},{"dropping-particle":"","family":"Huber","given":"Franziska","non-dropping-particle":"","parse-names":false,"suffix":""},{"dropping-particle":"","family":"Kishore","given":"Ravuri S.K.","non-dropping-particle":"","parse-names":false,"suffix":""},{"dropping-particle":"","family":"Reindl","given":"Jürgen","non-dropping-particle":"","parse-names":false,"suffix":""},{"dropping-particle":"","family":"Rückert","given":"Peter","non-dropping-particle":"","parse-names":false,"suffix":""},{"dropping-particle":"","family":"Müller","given":"Robert","non-dropping-particle":"","parse-names":false,"suffix":""}],"container-title":"Journal of Pharmaceutical Sciences","id":"ITEM-1","issue":"6","issued":{"date-parts":[["2010","6","1"]]},"page":"2620-2627","publisher":"Elsevier","title":"Adsorption Behavior of a Surfactant and a Monoclonal Antibody to Sterilizing-Grade Filters","type":"article-journal","volume":"99"},"uris":["http://www.mendeley.com/documents/?uuid=b7242a47-0f25-3c37-bc84-add7f3c8cf96"]}],"mendeley":{"formattedCitation":"(46)","plainTextFormattedCitation":"(46)","previouslyFormattedCitation":"&lt;sup&gt;46&lt;/sup&gt;"},"properties":{"noteIndex":0},"schema":"https://github.com/citation-style-language/schema/raw/master/csl-citation.json"}</w:instrText>
      </w:r>
      <w:r>
        <w:rPr>
          <w:lang w:val="en-US"/>
        </w:rPr>
        <w:fldChar w:fldCharType="separate"/>
      </w:r>
      <w:r w:rsidR="00E77D77" w:rsidRPr="00E77D77">
        <w:rPr>
          <w:noProof/>
          <w:lang w:val="en-US"/>
        </w:rPr>
        <w:t>(46)</w:t>
      </w:r>
      <w:r>
        <w:rPr>
          <w:lang w:val="en-US"/>
        </w:rPr>
        <w:fldChar w:fldCharType="end"/>
      </w:r>
      <w:r>
        <w:rPr>
          <w:lang w:val="en-US"/>
        </w:rPr>
        <w:t>. A protein concentration of 1.4 mg/ml was obtained as determined by measuring the light absorption at 280 nm using a NanoDrop (Thermo Fisher Scientific, Waltham, MA, USA).</w:t>
      </w:r>
    </w:p>
    <w:p w14:paraId="61EA252E" w14:textId="29CDB8CA" w:rsidR="003F11C6" w:rsidRPr="00572D4E" w:rsidRDefault="003F11C6" w:rsidP="003F11C6">
      <w:pPr>
        <w:spacing w:line="480" w:lineRule="auto"/>
        <w:jc w:val="both"/>
        <w:rPr>
          <w:lang w:val="en-US"/>
        </w:rPr>
      </w:pPr>
      <w:r>
        <w:rPr>
          <w:lang w:val="en-US"/>
        </w:rPr>
        <w:t xml:space="preserve">Excipient stock solutions were prepared by dissolving the excipient in 50 mM Pi buffer at pH 7.0 and adjusting the pH to 7.0 as required either with hydrochloric acid or concentrated sodium hydroxide.  Buffer was then added to obtain a final excipient concentration of 500 mM. The excipient stock solution was then filtered </w:t>
      </w:r>
      <w:r w:rsidR="0069727E">
        <w:rPr>
          <w:lang w:val="en-US"/>
        </w:rPr>
        <w:t>using</w:t>
      </w:r>
      <w:r>
        <w:rPr>
          <w:lang w:val="en-US"/>
        </w:rPr>
        <w:t xml:space="preserve"> a 0.22 µm filter (VWR Chemicals, Leuven).</w:t>
      </w:r>
    </w:p>
    <w:p w14:paraId="6EA1359E" w14:textId="77777777" w:rsidR="003F11C6" w:rsidRDefault="003F11C6" w:rsidP="003F11C6">
      <w:pPr>
        <w:spacing w:line="480" w:lineRule="auto"/>
        <w:jc w:val="both"/>
        <w:rPr>
          <w:i/>
          <w:u w:val="single"/>
          <w:lang w:val="en-US"/>
        </w:rPr>
      </w:pPr>
      <w:r w:rsidRPr="009E2A7D">
        <w:rPr>
          <w:i/>
          <w:u w:val="single"/>
          <w:lang w:val="en-US"/>
        </w:rPr>
        <w:t>Binding study</w:t>
      </w:r>
    </w:p>
    <w:p w14:paraId="3992DB6B" w14:textId="5B4968B8" w:rsidR="003F11C6" w:rsidRPr="00C71F33" w:rsidRDefault="003F11C6" w:rsidP="003F11C6">
      <w:pPr>
        <w:spacing w:line="480" w:lineRule="auto"/>
        <w:jc w:val="both"/>
        <w:rPr>
          <w:lang w:val="en-US"/>
        </w:rPr>
      </w:pPr>
      <w:r>
        <w:rPr>
          <w:lang w:val="en-US"/>
        </w:rPr>
        <w:t>Binding affinities were determined by microscale thermophoresis (Monolith, NanoTemper, Munich, Germany). Interferon-alpha-2a was labelled fluorescently (</w:t>
      </w:r>
      <w:r w:rsidRPr="0025323C">
        <w:rPr>
          <w:lang w:val="en-US"/>
        </w:rPr>
        <w:t>Monolith Protein Labeling Kit RED-NHS</w:t>
      </w:r>
      <w:r>
        <w:rPr>
          <w:lang w:val="en-US"/>
        </w:rPr>
        <w:t>) and excipient candidates were titrated using 50 mM phosphate buffer at pH 7.0 with a polysorbate 20 (Sigma Aldrich) concentration of 0.05 %</w:t>
      </w:r>
      <w:r>
        <w:rPr>
          <w:lang w:val="en-US"/>
        </w:rPr>
        <w:fldChar w:fldCharType="begin" w:fldLock="1"/>
      </w:r>
      <w:r w:rsidR="00E77D77">
        <w:rPr>
          <w:lang w:val="en-US"/>
        </w:rPr>
        <w:instrText>ADDIN CSL_CITATION {"citationItems":[{"id":"ITEM-1","itemData":{"DOI":"10.1089/adt.2011.0380","ISBN":"1557-8127 (Electronic)\\r1540-658X (Linking)","ISSN":"1540-658X","PMID":"21812660","abstract":"Abstract The use of infrared laser sources for creation of localized temperature fields has opened new possibilities for basic research and drug discovery. A recently developed technology, Microscale Thermophoresis (MST), uses this temperature field to perform biomolecular interaction studies. Thermophoresis, the motion of molecules in temperature fields, is very sensitive to changes in size, charge, and solvation shell of a molecule and thus suited for bioanalytics. This review focuses on the theoretical background of MST and gives a detailed overview on various applications to demonstrate the broad applicability. Experiments range from the quantification of the affinity of low-molecular-weight binders using fluorescently labeled proteins, to interactions between macromolecules and multi-component complexes like receptor containing liposomes. Information regarding experiment and experimental setup is based on the Monolith NT.115 instrument (NanoTemper Technologies GmbH).","author":[{"dropping-particle":"","family":"Jerabek-Willemsen","given":"Moran","non-dropping-particle":"","parse-names":false,"suffix":""},{"dropping-particle":"","family":"Wienken","given":"Chistoph J.","non-dropping-particle":"","parse-names":false,"suffix":""},{"dropping-particle":"","family":"Braun","given":"Dieter","non-dropping-particle":"","parse-names":false,"suffix":""},{"dropping-particle":"","family":"Baaske","given":"Philipp","non-dropping-particle":"","parse-names":false,"suffix":""},{"dropping-particle":"","family":"Duhr","given":"Stefan","non-dropping-particle":"","parse-names":false,"suffix":""}],"container-title":"ASSAY and Drug Development Technologies","id":"ITEM-1","issue":"4","issued":{"date-parts":[["2011"]]},"page":"342-353","title":"Molecular Interaction Studies Using Microscale Thermophoresis","type":"article-journal","volume":"9"},"uris":["http://www.mendeley.com/documents/?uuid=ce32c811-435e-4131-b358-3f601c99e508"]}],"mendeley":{"formattedCitation":"(47)","plainTextFormattedCitation":"(47)","previouslyFormattedCitation":"&lt;sup&gt;47&lt;/sup&gt;"},"properties":{"noteIndex":0},"schema":"https://github.com/citation-style-language/schema/raw/master/csl-citation.json"}</w:instrText>
      </w:r>
      <w:r>
        <w:rPr>
          <w:lang w:val="en-US"/>
        </w:rPr>
        <w:fldChar w:fldCharType="separate"/>
      </w:r>
      <w:r w:rsidR="00E77D77" w:rsidRPr="00E77D77">
        <w:rPr>
          <w:noProof/>
          <w:lang w:val="en-US"/>
        </w:rPr>
        <w:t>(47)</w:t>
      </w:r>
      <w:r>
        <w:rPr>
          <w:lang w:val="en-US"/>
        </w:rPr>
        <w:fldChar w:fldCharType="end"/>
      </w:r>
      <w:r>
        <w:rPr>
          <w:lang w:val="en-US"/>
        </w:rPr>
        <w:t>.</w:t>
      </w:r>
      <w:r w:rsidR="002466CE">
        <w:rPr>
          <w:lang w:val="en-US"/>
        </w:rPr>
        <w:t xml:space="preserve"> Excitation-power was set to 20% and MST-power was set to “high”.</w:t>
      </w:r>
    </w:p>
    <w:p w14:paraId="51F87CCC" w14:textId="7B7F6D77" w:rsidR="003F11C6" w:rsidRDefault="003F11C6" w:rsidP="003F11C6">
      <w:pPr>
        <w:spacing w:line="480" w:lineRule="auto"/>
        <w:jc w:val="both"/>
        <w:rPr>
          <w:i/>
          <w:u w:val="single"/>
          <w:lang w:val="en-US"/>
        </w:rPr>
      </w:pPr>
      <w:r w:rsidRPr="009E2A7D">
        <w:rPr>
          <w:i/>
          <w:u w:val="single"/>
          <w:lang w:val="en-US"/>
        </w:rPr>
        <w:t xml:space="preserve">Molecular </w:t>
      </w:r>
      <w:r w:rsidR="0069727E">
        <w:rPr>
          <w:i/>
          <w:u w:val="single"/>
          <w:lang w:val="en-US"/>
        </w:rPr>
        <w:t>d</w:t>
      </w:r>
      <w:r w:rsidRPr="009E2A7D">
        <w:rPr>
          <w:i/>
          <w:u w:val="single"/>
          <w:lang w:val="en-US"/>
        </w:rPr>
        <w:t>ynamics</w:t>
      </w:r>
      <w:r w:rsidR="0069727E">
        <w:rPr>
          <w:i/>
          <w:u w:val="single"/>
          <w:lang w:val="en-US"/>
        </w:rPr>
        <w:t xml:space="preserve"> simulations</w:t>
      </w:r>
    </w:p>
    <w:p w14:paraId="44D891A6" w14:textId="235E5B72" w:rsidR="003F11C6" w:rsidRDefault="003F11C6" w:rsidP="003F11C6">
      <w:pPr>
        <w:spacing w:line="480" w:lineRule="auto"/>
        <w:jc w:val="both"/>
        <w:rPr>
          <w:lang w:val="en-US"/>
        </w:rPr>
      </w:pPr>
      <w:r>
        <w:rPr>
          <w:lang w:val="en-US"/>
        </w:rPr>
        <w:t>The best scoring pose of the MM-GBSA rescoring served as input structure to calculate free energies of binding by the Attach-Pull-Release (APR) Umbrella Sampling approach</w:t>
      </w:r>
      <w:r>
        <w:rPr>
          <w:lang w:val="en-US"/>
        </w:rPr>
        <w:fldChar w:fldCharType="begin" w:fldLock="1"/>
      </w:r>
      <w:r w:rsidR="00E77D77">
        <w:rPr>
          <w:lang w:val="en-US"/>
        </w:rPr>
        <w:instrText xml:space="preserve">ADDIN CSL_CITATION {"citationItems":[{"id":"ITEM-1","itemData":{"DOI":"10.1021/acs.jctc.5b00405","ISBN":"1549-9618","ISSN":"15499626","PMID":"26523125","abstract":"We present a strategy for carrying out high-precision calculations of binding free energy and binding enthalpy values from molecular dynamics simulations with explicit solvent. The approach is used to calculate the thermodynamic profiles for binding of nine small molecule guests to either the cucurbit[7]uril (CB7) or β-cyclodextrin (βCD) host. For these systems, calculations using commodity hardware can yield binding free energy and binding enthalpy values with a precision of </w:instrText>
      </w:r>
      <w:r w:rsidR="00E77D77">
        <w:rPr>
          <w:rFonts w:ascii="Cambria Math" w:hAnsi="Cambria Math" w:cs="Cambria Math"/>
          <w:lang w:val="en-US"/>
        </w:rPr>
        <w:instrText>∼</w:instrText>
      </w:r>
      <w:r w:rsidR="00E77D77">
        <w:rPr>
          <w:lang w:val="en-US"/>
        </w:rPr>
        <w:instrText>0.5 kcal/mol (95% CI) in a matter of days. Crucially, the self- consistency of the approach is established by calculating the binding enthalpy directly, via end point potential energy calculations, and indirectly, via the temperature dependence of the binding free energy, i.e., by the van’tHoff equation. Excellent agreement between the direct and van’tHoff methods is demonstrated for both host−guest systems and an ion-pair model system for which particularly well- converged results are attainable. Additionally, we find that hydrogen mass repartitioning allows marked acceleration of the calculations with no discernible cost in precision or accuracy. Finally, we provide guidance for accurately assessing numerical uncertainty of the results in settings where complex correlations in the time series can pose challenges to statistical analysis. The routine nature and high precision of these binding calculations opens the possibility of including measured binding thermodynamics as target data in force field optimization so that simulations may be used to reliably interpret experimental data and guide molecular design.","author":[{"dropping-particle":"","family":"Henriksen","given":"Niel M.","non-dropping-particle":"","parse-names":false,"suffix":""},{"dropping-particle":"","family":"Fenley","given":"Andrew T.","non-dropping-particle":"","parse-names":false,"suffix":""},{"dropping-particle":"","family":"Gilson","given":"Michael K.","non-dropping-particle":"","parse-names":false,"suffix":""}],"container-title":"Journal of Chemical Theory and Computation","id":"ITEM-1","issue":"9","issued":{"date-parts":[["2015"]]},"page":"4377-4394","title":"Computational Calorimetry: High-Precision Calculation of Host-Guest Binding Thermodynamics","type":"article-journal","volume":"11"},"uris":["http://www.mendeley.com/documents/?uuid=d3135af1-708f-41d8-87aa-90393e345885"]},{"id":"ITEM-2","itemData":{"DOI":"10.1002/jcc.23398","ISBN":"0192-8651","ISSN":"01928651","PMID":"24038118","abstract":"This article addresses calculations of the standard free energy of binding from molecular simulations in which a bound ligand is extracted from its binding site by steered molecular dynamics (MD) simulations or equilibrium umbrella sampling (US). Host-guest systems are used as test beds to examine the requirements for obtaining the reversible work of ligand extraction. We find that, for both steered MD and US, marked irreversibilities can occur when the guest molecule crosses an energy barrier and suddenly jumps to a new position, causing dissipation of energy stored in the stretched molecule(s). For flexible molecules, this occurs even when a stiff pulling spring is used, and it is difficult to suppress in calculations where the spring is attached to the molecules by single, fixed attachment points. We, therefore, introduce and test a method, fluctuation-guided pulling, which adaptively adjusts the spring's attachment points based on the guest's atomic fluctuations relative to the host. This adaptive approach is found to substantially improve the reversibility of both steered MD and US calculations for the present systems. The results are then used to estimate standard binding free energies within a comprehensive framework, termed attach-pull-release, which recognizes that the standard free energy of binding must include not only the pulling work itself, but also the work of attaching and then releasing the spring, where the release work includes an accounting of the standard concentration to which the ligand is discharged.","author":[{"dropping-particle":"","family":"Velez-Vega","given":"Camilo","non-dropping-particle":"","parse-names":false,"suffix":""},{"dropping-particle":"","family":"Gilson","given":"Michael K.","non-dropping-particle":"","parse-names":false,"suffix":""}],"container-title":"Journal of Computational Chemistry","id":"ITEM-2","issue":"27","issued":{"date-parts":[["2013"]]},"page":"2360-2371","title":"Overcoming dissipation in the calculation of standard binding free energies by ligand extraction","type":"article-journal","volume":"34"},"uris":["http://www.mendeley.com/documents/?uuid=c91bb3e7-7f41-3ffe-b00a-9d28c14a67ea"]},{"id":"ITEM-3","itemData":{"DOI":"10.1016/S0006-3495(97)78756-3","ISBN":"0006-3495","ISSN":"00063495","PMID":"9138555","abstract":"Although the statistical thermodynamics of noncovalent binding has been considered in a number of theoretical papers, few methods of computing binding affinities are derived explicitly from this underlying theory. This has contributed to uncertainty and controversy in certain areas. This article therefore reviews and extends the connections of some important computational methods with the underlying statistical thermodynamics. A derivation of the standard free energy of binding forms the basis of this review. This derivation should be useful in formulating novel computational methods for predicting binding affinities. It also permits several important points to be established. For example, it is found that the double-annihilation method of computing binding energy does not yield the standard free energy of binding, but can be modified to yield this quantity. The derivation also makes it possible to define clearly the changes in translational, rotational, configurational, and solvent entropy upon binding. It is argued that molecular mass has a negligible effect upon the standard free energy of binding for biomolecular systems, and that the cratic entropy defined by Gurney is not a useful concept. In addition, the use of continuum models of the solvent in binding calculations is reviewed, and a formalism is presented for incorporating a limited number of solvent molecules explicitly.","author":[{"dropping-particle":"","family":"Gilson","given":"Michael K.","non-dropping-particle":"","parse-names":false,"suffix":""},{"dropping-particle":"","family":"Given","given":"James A.","non-dropping-particle":"","parse-names":false,"suffix":""},{"dropping-particle":"","family":"Bush","given":"Bruce L.","non-dropping-particle":"","parse-names":false,"suffix":""},{"dropping-particle":"","family":"McCammon","given":"J. Andrew","non-dropping-particle":"","parse-names":false,"suffix":""}],"container-title":"Biophysical Journal","id":"ITEM-3","issued":{"date-parts":[["1997"]]},"page":"1047-1069","title":"The statistical-thermodynamic basis for computation of binding affinities: A critical review","type":"article-journal","volume":"72"},"uris":["http://www.mendeley.com/documents/?uuid=d56a645c-3d1b-4245-83cb-6e978972e223"]}],"mendeley":{"formattedCitation":"(26–28)","plainTextFormattedCitation":"(26–28)","previouslyFormattedCitation":"&lt;sup&gt;26–28&lt;/sup&gt;"},"properties":{"noteIndex":0},"schema":"https://github.com/citation-style-language/schema/raw/master/csl-citation.json"}</w:instrText>
      </w:r>
      <w:r>
        <w:rPr>
          <w:lang w:val="en-US"/>
        </w:rPr>
        <w:fldChar w:fldCharType="separate"/>
      </w:r>
      <w:r w:rsidR="00E77D77" w:rsidRPr="00E77D77">
        <w:rPr>
          <w:noProof/>
          <w:lang w:val="en-US"/>
        </w:rPr>
        <w:t>(26–28)</w:t>
      </w:r>
      <w:r>
        <w:rPr>
          <w:lang w:val="en-US"/>
        </w:rPr>
        <w:fldChar w:fldCharType="end"/>
      </w:r>
      <w:r>
        <w:rPr>
          <w:lang w:val="en-US"/>
        </w:rPr>
        <w:t xml:space="preserve">. The PDB structure generated by the virtual screen, containing the ligand docked to the protein, was reoriented using the z-align script from the APR suite. Restraints were gradually attached in 13 windows and the distance between the compound and its binding site was gradually increased in 46 windows. For the first window of the attachment phase where the APR restraints are set to 0, an additional distant restraint was implemented to define the binding site and avoid the ligand leaving. The systems for each window were constructed using tleap, adding 20500 water molecules to each system, using the APR procedure. </w:t>
      </w:r>
      <w:r>
        <w:rPr>
          <w:lang w:val="en-US"/>
        </w:rPr>
        <w:lastRenderedPageBreak/>
        <w:t>The CUDA implementation of pmemd in Amber16 was used along with the ff14SB, GAFF2 and TIP3P force-fields</w:t>
      </w:r>
      <w:r>
        <w:rPr>
          <w:lang w:val="en-US"/>
        </w:rPr>
        <w:fldChar w:fldCharType="begin" w:fldLock="1"/>
      </w:r>
      <w:r w:rsidR="00E77D77">
        <w:rPr>
          <w:lang w:val="en-US"/>
        </w:rPr>
        <w:instrText>ADDIN CSL_CITATION {"citationItems":[{"id":"ITEM-1","itemData":{"abstract":"We present an implementation of explicit solvent all atom classical molecular dynamics (MD) within the AMBER program package that runs entirely on CUDA-enabled GPUs. First released publicly in April 2010 as part of version 11 of the AMBER MD package and further improved and optimized over the last two years, this implementation supports the three most widely used statistical mechanical ensembles (NVE, NVT, and NPT), uses particle mesh Ewald (PME) for the long-range electrostatics, and runs entirely on CUDA-enabled NVIDIA graphics processing units (GPUs), providing results that are statistically indistinguishable from the traditional CPU version of the software and with performance that exceeds that achievable by the CPU version of AMBER software running on all conventional CPU-based clusters and supercomputers. We briefly discuss three different precision models developed specifically for this work (SPDP, SPFP, and DPDP) and highlight the technical details of the approach as it extends beyond previously reported work [Götz et al., J. Chem. Theory Comput. 2012, DOI: 10.1021/ct200909j; Le Grand et al., Comp. Phys. Comm. 2013, DOI: 10.1016/j.cpc.2012.09.022].We highlight the substantial improvements in performance that are seen over traditional CPU-only machines and provide validation of our implementation and precision models. We also provide evidence supporting our decision to deprecate the previously described fully single precision (SPSP) model from the latest release of the AMBER software package.","author":[{"dropping-particle":"","family":"Salmon-Ferrer","given":"Romelia","non-dropping-particle":"","parse-names":false,"suffix":""},{"dropping-particle":"","family":"Goetz","given":"Andreas W.","non-dropping-particle":"","parse-names":false,"suffix":""},{"dropping-particle":"","family":"Poole","given":"Duncan","non-dropping-particle":"","parse-names":false,"suffix":""},{"dropping-particle":"","family":"Grand","given":"Scott","non-dropping-particle":"Le","parse-names":false,"suffix":""},{"dropping-particle":"","family":"Walker","given":"Ross C","non-dropping-particle":"","parse-names":false,"suffix":""}],"container-title":"Journal of Chemical Theory and Computation","id":"ITEM-1","issue":"9","issued":{"date-parts":[["2013"]]},"page":"3878-3888","title":"Routine microsecond molecular dynamics simulations with AMBER - Part II: Particle Mesh Ewald","type":"article-journal","volume":"9"},"uris":["http://www.mendeley.com/documents/?uuid=df75b3ad-ee70-31ec-a791-72378ef014cb"]},{"id":"ITEM-2","itemData":{"DOI":"10.1063/1.445869","ISBN":"0972-5938","ISSN":"09725938","PMID":"25246403","abstract":"Classical Monte Carlo simulations have been carried out for liquid water in the NPT ensemble at 25 'C and I atm using six of the simpler intermolecular potential functions for the water dimer: Bernal-Fowler (BF), SPC, ST2, TIPS2, TIP3P, and TIP4P. Comparisons are made with experimental thermodynamic and structural data including the recent neutron diffraction results of Thiessen and Narten. The computed densities and potential energies are in reasonable accord with experiment except for the original BF model, which yields an 18% overestimate of the density and poor structural results. The TIPS2 and TIP4P potentials yield oxygen--{)xygen partial structure functions in good agreement with the neutron diffraction results. The accord with the experimental OH and HH partial structure functions is poorer; however, the computed results for these functions are similar for all the potential functions. Consequently, the discrepancy may be due to the correction terms needed in processing the neutron data or to an effect uniformly neglected in the computations. Comparisons are also made for self-diffusion coefficients obtained from molecular dynamics simulations. Overall, the SPC, ST2, TIPS2, and TIP4P models give reasonable structural and thermodynamic descriptions of liquid water and they should be useful in simulations of aqueous solutions. The simplicity of the SPC, TIPS2, and TIP4P functions is also attractive from a computational standpoint. I.","author":[{"dropping-particle":"","family":"Jorgensen","given":"William L.","non-dropping-particle":"","parse-names":false,"suffix":""},{"dropping-particle":"","family":"Chandrasekhar","given":"Jayaraman","non-dropping-particle":"","parse-names":false,"suffix":""},{"dropping-particle":"","family":"Madura","given":"Jeffry D.","non-dropping-particle":"","parse-names":false,"suffix":""},{"dropping-particle":"","family":"Impey","given":"Roger W.","non-dropping-particle":"","parse-names":false,"suffix":""},{"dropping-particle":"","family":"Klein","given":"Michael L.","non-dropping-particle":"","parse-names":false,"suffix":""}],"container-title":"J. Chem. Phys.","id":"ITEM-2","issue":"2","issued":{"date-parts":[["1983"]]},"page":"926-935","title":"Comparison of simple potential functions for simulating liquid water William","type":"article-journal","volume":"79"},"uris":["http://www.mendeley.com/documents/?uuid=2318cc1a-0af8-3e49-99bc-27a668e47462"]}],"mendeley":{"formattedCitation":"(48, 49)","plainTextFormattedCitation":"(48, 49)","previouslyFormattedCitation":"&lt;sup&gt;48,49&lt;/sup&gt;"},"properties":{"noteIndex":0},"schema":"https://github.com/citation-style-language/schema/raw/master/csl-citation.json"}</w:instrText>
      </w:r>
      <w:r>
        <w:rPr>
          <w:lang w:val="en-US"/>
        </w:rPr>
        <w:fldChar w:fldCharType="separate"/>
      </w:r>
      <w:r w:rsidR="00E77D77" w:rsidRPr="00E77D77">
        <w:rPr>
          <w:noProof/>
          <w:lang w:val="en-US"/>
        </w:rPr>
        <w:t>(48, 49)</w:t>
      </w:r>
      <w:r>
        <w:rPr>
          <w:lang w:val="en-US"/>
        </w:rPr>
        <w:fldChar w:fldCharType="end"/>
      </w:r>
      <w:r>
        <w:rPr>
          <w:lang w:val="en-US"/>
        </w:rPr>
        <w:t>. The ligand was parametrized using GAFF2 for bonded and non-bonded parameters. Atomic partial charges were calculated with Gaussian 16 (</w:t>
      </w:r>
      <w:r w:rsidRPr="003C6D53">
        <w:rPr>
          <w:lang w:val="en-US"/>
        </w:rPr>
        <w:t>Gaussian Inc., Wallingford, CT, U.S.A.</w:t>
      </w:r>
      <w:r>
        <w:rPr>
          <w:lang w:val="en-US"/>
        </w:rPr>
        <w:t xml:space="preserve">) and fitted with the RESP procedure in antechamber. Hydrogen mass repartitioning and the SHAKE algorithm were used to </w:t>
      </w:r>
      <w:r w:rsidR="0069727E">
        <w:rPr>
          <w:lang w:val="en-US"/>
        </w:rPr>
        <w:t>allow</w:t>
      </w:r>
      <w:r>
        <w:rPr>
          <w:lang w:val="en-US"/>
        </w:rPr>
        <w:t xml:space="preserve"> timesteps of 4 fs</w:t>
      </w:r>
      <w:r>
        <w:rPr>
          <w:lang w:val="en-US"/>
        </w:rPr>
        <w:fldChar w:fldCharType="begin" w:fldLock="1"/>
      </w:r>
      <w:r w:rsidR="00E77D77">
        <w:rPr>
          <w:lang w:val="en-US"/>
        </w:rPr>
        <w:instrText>ADDIN CSL_CITATION {"citationItems":[{"id":"ITEM-1","itemData":{"DOI":"10.1016/0021-9991(77)90098-5","ISSN":"0021-9991","abstract":"A numerical algorithm integrating the 3N Cartesian equations of motion of a system of N points subject to holonomic constraints is formulated. The relations of constraint remain perfectly fulfilled at each step of the trajectory despite the approximate character of numerical integration. The method is applied to a molecular dynamics simulation of a liquid of 64 n-butane molecules and compared to a simulation using generalized coordinates. The method should be useful for molecular dynamics calculations on large molecules with internal degrees of freedom.","author":[{"dropping-particle":"","family":"Ryckaert","given":"Jean-Paul","non-dropping-particle":"","parse-names":false,"suffix":""},{"dropping-particle":"","family":"Ciccotti","given":"Giovanni","non-dropping-particle":"","parse-names":false,"suffix":""},{"dropping-particle":"","family":"Berendsen","given":"Herman J.C","non-dropping-particle":"","parse-names":false,"suffix":""}],"container-title":"Journal of Computational Physics","id":"ITEM-1","issue":"3","issued":{"date-parts":[["1977","3","1"]]},"page":"327-341","publisher":"Academic Press","title":"Numerical integration of the cartesian equations of motion of a system with constraints: molecular dynamics of n-alkanes","type":"article-journal","volume":"23"},"uris":["http://www.mendeley.com/documents/?uuid=a629a467-cd1f-36d9-9c36-4e6fa1feb41b"]},{"id":"ITEM-2","itemData":{"DOI":"10.1002/(SICI)1096-987X(199906)20:8&lt;786::AID-JCC5&gt;3.0.CO;2-B","ISBN":"0192-8651","ISSN":"01928651","abstract":"A systematic analysis is performed on the eﬀectiveness of removing degrees of freedom from hydrogen atoms and/or increasing hydrogen masses to increase the eﬀiciency of molecular dynamics simulations of hydrogen-rich systems such as proteins in water. In proteins, high-frequency bond-angle vibrations involving hydrogen atoms limit the time step to 3 fs, which is already a factor of 1.5 beyond the commonly used time step of 2 fs. Removing these degrees of freedom from the system by constructing hydrogen atoms as dummy atoms, allows the time step to be increased to 7 fs, a factor of 3.5 compared with 2 fs. Additionally, a gain in simulation stability can be achieved by increasing the masses of hydrogen atoms with remaining degrees of freedom from 1 to 4 u. Increasing hydrogen mass without removing the high-frequency degrees of freedom allows the time step to be increased only to 4 fs, a factor of two, compared with 2 fs. The net gain in eﬀiciency of sampling conﬁgurational space may be up to 15% lower than expected from the increase in time step due to the increase in viscosity and decrease in diﬀusion constant. In principle, introducing dummy atoms and increasing hydrogen mass do not inﬂuence thermodynamical properties of the system and dynamical properties are shown to be inﬂuenced only to a moderate degree. Comparing the maximum time step attainable with these methods (7 fs) to the time step of 2 fs that is routinely used in simulation, and taking into account the increase in viscosity and decrease in diﬀusion constant, we can say that a net gain in simulation eﬀiciency of a factor of 3 to 3.5 can be achieved.</w:instrText>
      </w:r>
      <w:r w:rsidR="00E77D77">
        <w:rPr>
          <w:rFonts w:ascii="Tahoma" w:hAnsi="Tahoma" w:cs="Tahoma"/>
          <w:lang w:val="en-US"/>
        </w:rPr>
        <w:instrText>����</w:instrText>
      </w:r>
      <w:r w:rsidR="00E77D77">
        <w:rPr>
          <w:lang w:val="en-US"/>
        </w:rPr>
        <w:instrText>1999 John Wiley &amp; Sons, Inc.</w:instrText>
      </w:r>
      <w:r w:rsidR="00E77D77">
        <w:rPr>
          <w:rFonts w:ascii="Tahoma" w:hAnsi="Tahoma" w:cs="Tahoma"/>
          <w:lang w:val="en-US"/>
        </w:rPr>
        <w:instrText>���</w:instrText>
      </w:r>
      <w:r w:rsidR="00E77D77">
        <w:rPr>
          <w:lang w:val="en-US"/>
        </w:rPr>
        <w:instrText>J Comput Chem 20: 786-798, 1999","author":[{"dropping-particle":"","family":"Feenstra","given":"K Anton","non-dropping-particle":"","parse-names":false,"suffix":""},{"dropping-particle":"","family":"Hess","given":"Berk","non-dropping-particle":"","parse-names":false,"suffix":""},{"dropping-particle":"","family":"Berendsen","given":"Herman J.C.","non-dropping-particle":"","parse-names":false,"suffix":""}],"container-title":"Journal of Computational Chemistry","id":"ITEM-2","issue":"8","issued":{"date-parts":[["1999"]]},"page":"786-798","title":"Improving efficiency of large time-scale molecular dynamics simulations of hydrogen-rich systems","type":"article-journal","volume":"20"},"uris":["http://www.mendeley.com/documents/?uuid=4c7dfdb3-880e-33ea-a3d9-6480b31cfb62"]}],"mendeley":{"formattedCitation":"(50, 51)","plainTextFormattedCitation":"(50, 51)","previouslyFormattedCitation":"&lt;sup&gt;50,51&lt;/sup&gt;"},"properties":{"noteIndex":0},"schema":"https://github.com/citation-style-language/schema/raw/master/csl-citation.json"}</w:instrText>
      </w:r>
      <w:r>
        <w:rPr>
          <w:lang w:val="en-US"/>
        </w:rPr>
        <w:fldChar w:fldCharType="separate"/>
      </w:r>
      <w:r w:rsidR="00E77D77" w:rsidRPr="00E77D77">
        <w:rPr>
          <w:noProof/>
          <w:lang w:val="en-US"/>
        </w:rPr>
        <w:t>(50, 51)</w:t>
      </w:r>
      <w:r>
        <w:rPr>
          <w:lang w:val="en-US"/>
        </w:rPr>
        <w:fldChar w:fldCharType="end"/>
      </w:r>
      <w:r>
        <w:rPr>
          <w:lang w:val="en-US"/>
        </w:rPr>
        <w:t xml:space="preserve">. Pressure was regulated using a Monte Carlo barostat and a Langevin thermostat was used to keep the temperature at 298.15 K. Modifications to the APR script were implemented to allow parallel runs of the respective windows on the GPU cluster and facilitate system preparation. The simulation time in each window was 112.5 ns resulting in approximately 6.6 µs total simulation time. Calculation of the free energy of binding </w:t>
      </w:r>
      <w:r w:rsidR="0069727E">
        <w:rPr>
          <w:lang w:val="en-US"/>
        </w:rPr>
        <w:t>was performed</w:t>
      </w:r>
      <w:r>
        <w:rPr>
          <w:lang w:val="en-US"/>
        </w:rPr>
        <w:t xml:space="preserve"> by using the thermodynamic integration scheme as implemented in the APR script. </w:t>
      </w:r>
    </w:p>
    <w:p w14:paraId="43586A97" w14:textId="77777777" w:rsidR="003F11C6" w:rsidRDefault="003F11C6" w:rsidP="003F11C6">
      <w:pPr>
        <w:spacing w:line="480" w:lineRule="auto"/>
        <w:rPr>
          <w:i/>
          <w:u w:val="single"/>
          <w:lang w:val="en-US"/>
        </w:rPr>
      </w:pPr>
      <w:r w:rsidRPr="009E2A7D">
        <w:rPr>
          <w:i/>
          <w:u w:val="single"/>
          <w:lang w:val="en-US"/>
        </w:rPr>
        <w:t>Toxicity Prediction</w:t>
      </w:r>
    </w:p>
    <w:p w14:paraId="31FE022A" w14:textId="1D614464" w:rsidR="003F11C6" w:rsidRPr="00164CD2" w:rsidRDefault="003F11C6" w:rsidP="003F11C6">
      <w:pPr>
        <w:spacing w:line="480" w:lineRule="auto"/>
        <w:jc w:val="both"/>
        <w:rPr>
          <w:lang w:val="en-US"/>
        </w:rPr>
      </w:pPr>
      <w:r>
        <w:rPr>
          <w:lang w:val="en-US"/>
        </w:rPr>
        <w:t>The toxicity for the candidate compound A was predicted using OpenVirtualToxLab</w:t>
      </w:r>
      <w:r>
        <w:rPr>
          <w:lang w:val="en-US"/>
        </w:rPr>
        <w:fldChar w:fldCharType="begin" w:fldLock="1"/>
      </w:r>
      <w:r w:rsidR="00E77D77">
        <w:rPr>
          <w:lang w:val="en-US"/>
        </w:rPr>
        <w:instrText>ADDIN CSL_CITATION {"citationItems":[{"id":"ITEM-1","itemData":{"DOI":"10.1016/J.TOXLET.2014.09.004","ISSN":"0378-4274","abstract":"The VirtualToxLab is an in silico technology for estimating the toxic potential—endocrine and metabolic disruption, some aspects of carcinogenicity and cardiotoxicity—of drugs, chemicals and natural products. The technology is based on an automated protocol that simulates and quantifies the binding of small molecules towards a series of currently 16 proteins, known or suspected to trigger adverse effects: 10 nuclear receptors (androgen, estrogen α, estrogen β, glucocorticoid, liver X, mineralocorticoid, peroxisome proliferator-activated receptor γ, progesterone, thyroid α, thyroid β), four members of the cytochrome P450 enzyme family (1A2, 2C9, 2D6, 3A4), a cytosolic transcription factor (aryl hydrocarbon receptor) and a potassium ion channel (hERG). The toxic potential of a compound—its ability to trigger adverse effects—is derived from its computed binding affinities toward these very proteins: the computationally demanding simulations are executed in client–server model on a Linux cluster of the University of Basel. The graphical-user interface supports all computer platforms, allows building and uploading molecular structures, inspecting and downloading the results and, most important, rationalizing any prediction at the atomic level by interactively analyzing the binding mode of a compound with its target protein(s) in real-time 3D. Access to the VirtualToxLab is available free of charge for universities, governmental agencies, regulatory bodies and non-profit organizations.","author":[{"dropping-particle":"","family":"Vedani","given":"Angelo","non-dropping-particle":"","parse-names":false,"suffix":""},{"dropping-particle":"","family":"Dobler","given":"Max","non-dropping-particle":"","parse-names":false,"suffix":""},{"dropping-particle":"","family":"Hu","given":"Zhenquan","non-dropping-particle":"","parse-names":false,"suffix":""},{"dropping-particle":"","family":"Smieško","given":"Martin","non-dropping-particle":"","parse-names":false,"suffix":""}],"container-title":"Toxicology Letters","id":"ITEM-1","issue":"2","issued":{"date-parts":[["2015","1","22"]]},"page":"519-532","publisher":"Elsevier","title":"OpenVirtualToxLab—A platform for generating and exchanging in silico toxicity data","type":"article-journal","volume":"232"},"uris":["http://www.mendeley.com/documents/?uuid=2e827f8b-a3ab-3ad7-b48a-a425f999e3ec"]}],"mendeley":{"formattedCitation":"(52)","plainTextFormattedCitation":"(52)","previouslyFormattedCitation":"&lt;sup&gt;52&lt;/sup&gt;"},"properties":{"noteIndex":0},"schema":"https://github.com/citation-style-language/schema/raw/master/csl-citation.json"}</w:instrText>
      </w:r>
      <w:r>
        <w:rPr>
          <w:lang w:val="en-US"/>
        </w:rPr>
        <w:fldChar w:fldCharType="separate"/>
      </w:r>
      <w:r w:rsidR="00E77D77" w:rsidRPr="00E77D77">
        <w:rPr>
          <w:noProof/>
          <w:lang w:val="en-US"/>
        </w:rPr>
        <w:t>(52)</w:t>
      </w:r>
      <w:r>
        <w:rPr>
          <w:lang w:val="en-US"/>
        </w:rPr>
        <w:fldChar w:fldCharType="end"/>
      </w:r>
      <w:r>
        <w:rPr>
          <w:lang w:val="en-US"/>
        </w:rPr>
        <w:t>.</w:t>
      </w:r>
    </w:p>
    <w:p w14:paraId="78A5E0E4" w14:textId="77777777" w:rsidR="003F11C6" w:rsidRPr="002A0CD2" w:rsidRDefault="003F11C6" w:rsidP="003F11C6">
      <w:pPr>
        <w:spacing w:line="480" w:lineRule="auto"/>
        <w:jc w:val="both"/>
        <w:rPr>
          <w:i/>
          <w:u w:val="single"/>
          <w:lang w:val="en-US"/>
        </w:rPr>
      </w:pPr>
      <w:r>
        <w:rPr>
          <w:i/>
          <w:u w:val="single"/>
          <w:lang w:val="en-US"/>
        </w:rPr>
        <w:t>Forced degradation studies</w:t>
      </w:r>
    </w:p>
    <w:p w14:paraId="0EB190A7" w14:textId="77777777" w:rsidR="003F11C6" w:rsidRPr="002F3889" w:rsidRDefault="003F11C6" w:rsidP="003F11C6">
      <w:pPr>
        <w:spacing w:line="480" w:lineRule="auto"/>
        <w:jc w:val="both"/>
        <w:rPr>
          <w:lang w:val="en-US"/>
        </w:rPr>
      </w:pPr>
      <w:r>
        <w:rPr>
          <w:lang w:val="en-US"/>
        </w:rPr>
        <w:t xml:space="preserve">Each replicate sample was filled in a separate 2R vial </w:t>
      </w:r>
      <w:r w:rsidRPr="008D219A">
        <w:rPr>
          <w:lang w:val="en-US"/>
        </w:rPr>
        <w:t>(Fiolax, klar HGA 1/ISO 720</w:t>
      </w:r>
      <w:r>
        <w:rPr>
          <w:lang w:val="en-US"/>
        </w:rPr>
        <w:t>). The vials were capped and crimped pneumatically. Excipients and buffer were spiked into the IFN solution to obtain a final formulation of 1 mg/ml of protein, 50 mM excipient, 50 mM Pi at pH 7.0.</w:t>
      </w:r>
    </w:p>
    <w:p w14:paraId="4D071A07" w14:textId="78303969" w:rsidR="003F11C6" w:rsidRDefault="003F11C6" w:rsidP="003F11C6">
      <w:pPr>
        <w:spacing w:line="480" w:lineRule="auto"/>
        <w:jc w:val="both"/>
        <w:rPr>
          <w:lang w:val="en-US"/>
        </w:rPr>
      </w:pPr>
      <w:r>
        <w:rPr>
          <w:lang w:val="en-US"/>
        </w:rPr>
        <w:t xml:space="preserve">To evaluate the stabilizing impact of the excipient candidates, samples were frozen and thawed three times in a Christ 2D-6 freeze dryer. A temperature ramp of 1 K/min and a hold time of 2 h </w:t>
      </w:r>
      <w:r w:rsidR="005F30DC">
        <w:rPr>
          <w:lang w:val="en-US"/>
        </w:rPr>
        <w:t>were</w:t>
      </w:r>
      <w:r>
        <w:rPr>
          <w:lang w:val="en-US"/>
        </w:rPr>
        <w:t xml:space="preserve"> used.  The protein was also exposed to shaking stress using a horizontal shaker (IKA HS 260 basic, 300 rpm). Sub-visible particles were detected by flow imaging (FlowCam, Fluid Imaging Technologies, Inc., Scarborough, ME, USA). Soluble aggregates were detected by size-exclusion chromatography on a Dionex Summit HPLC system at 280 nm using a Superose 12 10/300 GL as stationary phase (</w:t>
      </w:r>
      <w:r w:rsidRPr="007A1648">
        <w:rPr>
          <w:lang w:val="en-US"/>
        </w:rPr>
        <w:t>GE Healthcare Life Sciences</w:t>
      </w:r>
      <w:r>
        <w:rPr>
          <w:lang w:val="en-US"/>
        </w:rPr>
        <w:t>, Chalfont St Giles, UK) and 50 mM Pi, 200 mM NaCl, pH 7.0 as mobile phase.</w:t>
      </w:r>
    </w:p>
    <w:p w14:paraId="247E63B3" w14:textId="77777777" w:rsidR="003F11C6" w:rsidRDefault="003F11C6" w:rsidP="003F11C6">
      <w:pPr>
        <w:spacing w:line="480" w:lineRule="auto"/>
        <w:jc w:val="both"/>
        <w:rPr>
          <w:lang w:val="en-US"/>
        </w:rPr>
      </w:pPr>
      <w:r>
        <w:rPr>
          <w:lang w:val="en-US"/>
        </w:rPr>
        <w:lastRenderedPageBreak/>
        <w:t>Heat induced degradation was measured with by nanoDSF and backscattering (Prometheus NT.48, NanoTemper, Munich, Germany) at a heating rate of 1 °C/min from 25 to 95 °C in standard capillaries (NanoTemper, Munich, Germany).</w:t>
      </w:r>
    </w:p>
    <w:p w14:paraId="1FC385BF" w14:textId="77777777" w:rsidR="003F11C6" w:rsidRDefault="003F11C6" w:rsidP="003F11C6">
      <w:pPr>
        <w:spacing w:line="480" w:lineRule="auto"/>
        <w:jc w:val="both"/>
        <w:rPr>
          <w:i/>
          <w:u w:val="single"/>
          <w:lang w:val="en-US"/>
        </w:rPr>
      </w:pPr>
      <w:r>
        <w:rPr>
          <w:i/>
          <w:u w:val="single"/>
          <w:lang w:val="en-US"/>
        </w:rPr>
        <w:t>Apparent M</w:t>
      </w:r>
      <w:r w:rsidRPr="004E09D2">
        <w:rPr>
          <w:i/>
          <w:u w:val="single"/>
          <w:vertAlign w:val="subscript"/>
          <w:lang w:val="en-US"/>
        </w:rPr>
        <w:t>w</w:t>
      </w:r>
    </w:p>
    <w:p w14:paraId="23FBB780" w14:textId="309CAB4A" w:rsidR="001D0903" w:rsidRDefault="003F11C6" w:rsidP="001D0903">
      <w:pPr>
        <w:spacing w:line="480" w:lineRule="auto"/>
        <w:jc w:val="both"/>
        <w:rPr>
          <w:lang w:val="en-US"/>
        </w:rPr>
      </w:pPr>
      <w:r>
        <w:rPr>
          <w:lang w:val="en-US"/>
        </w:rPr>
        <w:t>Apparent M</w:t>
      </w:r>
      <w:r w:rsidRPr="004E09D2">
        <w:rPr>
          <w:vertAlign w:val="subscript"/>
          <w:lang w:val="en-US"/>
        </w:rPr>
        <w:t>w</w:t>
      </w:r>
      <w:r>
        <w:rPr>
          <w:lang w:val="en-US"/>
        </w:rPr>
        <w:t xml:space="preserve"> was measured by static light scattering (DynaPro III, Wyatt Technology Europe, Dernbach, Germany) in a 1536 well plate (Aurora Microplates, </w:t>
      </w:r>
      <w:r w:rsidRPr="00611F4D">
        <w:rPr>
          <w:lang w:val="en-US"/>
        </w:rPr>
        <w:t>Whitefish, MT</w:t>
      </w:r>
      <w:r>
        <w:rPr>
          <w:lang w:val="en-US"/>
        </w:rPr>
        <w:t xml:space="preserve">, USA) with 8 µl of sample volume and 3 µl of silicon oil (Alfa Aesar, ThermoFisher GmbH, Kandel, Germany). The well plate was calibrated with a dilution series of dextran (Sigma-Aldrich Chemie GmbH, Taufkirchen, Germany). Due to the sensitivity of light scattering to larger particles, stock solutions were additionally filtered </w:t>
      </w:r>
      <w:r w:rsidR="005F30DC">
        <w:rPr>
          <w:lang w:val="en-US"/>
        </w:rPr>
        <w:t>using</w:t>
      </w:r>
      <w:r>
        <w:rPr>
          <w:lang w:val="en-US"/>
        </w:rPr>
        <w:t xml:space="preserve"> 0.02 µm filters (Whatman, GE Healthcare UK, Buckinghamshire, UK)</w:t>
      </w:r>
    </w:p>
    <w:p w14:paraId="15EE370C" w14:textId="68411627" w:rsidR="00A659BA" w:rsidRDefault="00A659BA" w:rsidP="001D0903">
      <w:pPr>
        <w:spacing w:line="480" w:lineRule="auto"/>
        <w:jc w:val="both"/>
        <w:rPr>
          <w:b/>
          <w:lang w:val="en-US"/>
        </w:rPr>
      </w:pPr>
      <w:r>
        <w:rPr>
          <w:b/>
          <w:lang w:val="en-US"/>
        </w:rPr>
        <w:t>Acknowledgements</w:t>
      </w:r>
    </w:p>
    <w:p w14:paraId="6EC2955B" w14:textId="1A4D2C9E" w:rsidR="00A659BA" w:rsidRDefault="00A659BA" w:rsidP="00A129E5">
      <w:pPr>
        <w:spacing w:line="480" w:lineRule="auto"/>
        <w:jc w:val="both"/>
        <w:rPr>
          <w:lang w:val="en-US"/>
        </w:rPr>
      </w:pPr>
      <w:r w:rsidRPr="00A659BA">
        <w:rPr>
          <w:lang w:val="en-US"/>
        </w:rPr>
        <w:t>This work is part of a project that has received funding from the European Union's Horizon 2020</w:t>
      </w:r>
      <w:r>
        <w:rPr>
          <w:lang w:val="en-US"/>
        </w:rPr>
        <w:t xml:space="preserve"> </w:t>
      </w:r>
      <w:r w:rsidRPr="00A659BA">
        <w:rPr>
          <w:lang w:val="en-US"/>
        </w:rPr>
        <w:t>research and innovation program under the Marie Skłodowska-Curie grant agreement No. 675074.</w:t>
      </w:r>
      <w:r w:rsidR="00182EA9">
        <w:rPr>
          <w:lang w:val="en-US"/>
        </w:rPr>
        <w:t xml:space="preserve"> The authors are grateful to NanoTemper for kindly providing measurement time and </w:t>
      </w:r>
      <w:r w:rsidR="002D7BC7">
        <w:rPr>
          <w:lang w:val="en-US"/>
        </w:rPr>
        <w:t>consumables</w:t>
      </w:r>
      <w:r w:rsidR="00182EA9">
        <w:rPr>
          <w:lang w:val="en-US"/>
        </w:rPr>
        <w:t>.</w:t>
      </w:r>
      <w:r w:rsidR="00AF72C1">
        <w:rPr>
          <w:lang w:val="en-US"/>
        </w:rPr>
        <w:t xml:space="preserve">  Molecular dynamics simulations were carried out on the Steno GPU cluster at DTU chemistry. We want to acknowledge Jonas Mansoor’s contribution to setting up and administrating the GPU cluster. Quantum mechanical calculations were carried out on the Linux Cluster of the Leibniz Rechenzentrum.</w:t>
      </w:r>
      <w:r w:rsidR="00683F0C">
        <w:rPr>
          <w:lang w:val="en-US"/>
        </w:rPr>
        <w:t xml:space="preserve"> We are grateful to Dr. Thomas Wein for </w:t>
      </w:r>
      <w:r w:rsidR="00024C49">
        <w:rPr>
          <w:lang w:val="en-US"/>
        </w:rPr>
        <w:t>fruitful discu</w:t>
      </w:r>
      <w:r w:rsidR="00577BBA">
        <w:rPr>
          <w:lang w:val="en-US"/>
        </w:rPr>
        <w:t>s</w:t>
      </w:r>
      <w:r w:rsidR="00024C49">
        <w:rPr>
          <w:lang w:val="en-US"/>
        </w:rPr>
        <w:t>sions</w:t>
      </w:r>
      <w:r w:rsidR="00D642DF">
        <w:rPr>
          <w:lang w:val="en-US"/>
        </w:rPr>
        <w:t xml:space="preserve"> and to Luis Sánchez for his help with </w:t>
      </w:r>
      <w:r w:rsidR="00F0019B">
        <w:rPr>
          <w:lang w:val="en-US"/>
        </w:rPr>
        <w:t>surface pressure measurements.</w:t>
      </w:r>
    </w:p>
    <w:p w14:paraId="6831F727" w14:textId="50298EED" w:rsidR="001945AC" w:rsidRPr="00AE2F57" w:rsidRDefault="001945AC" w:rsidP="001945AC">
      <w:pPr>
        <w:spacing w:line="480" w:lineRule="auto"/>
        <w:jc w:val="both"/>
        <w:rPr>
          <w:b/>
          <w:lang w:val="en-US"/>
        </w:rPr>
      </w:pPr>
      <w:r w:rsidRPr="001945AC">
        <w:rPr>
          <w:b/>
          <w:lang w:val="en-US"/>
        </w:rPr>
        <w:t>Competing interests</w:t>
      </w:r>
    </w:p>
    <w:p w14:paraId="5FE372ED" w14:textId="77777777" w:rsidR="001945AC" w:rsidRPr="001945AC" w:rsidRDefault="001945AC" w:rsidP="001945AC">
      <w:pPr>
        <w:spacing w:line="480" w:lineRule="auto"/>
        <w:jc w:val="both"/>
        <w:rPr>
          <w:lang w:val="en-US"/>
        </w:rPr>
      </w:pPr>
      <w:r w:rsidRPr="001945AC">
        <w:rPr>
          <w:lang w:val="en-US"/>
        </w:rPr>
        <w:t>The authors declare no competing interests.</w:t>
      </w:r>
    </w:p>
    <w:p w14:paraId="6D184ACE" w14:textId="46BE918E" w:rsidR="001945AC" w:rsidRPr="001945AC" w:rsidRDefault="001945AC" w:rsidP="001945AC">
      <w:pPr>
        <w:spacing w:line="480" w:lineRule="auto"/>
        <w:jc w:val="both"/>
        <w:rPr>
          <w:b/>
          <w:lang w:val="en-US"/>
        </w:rPr>
      </w:pPr>
      <w:r w:rsidRPr="001945AC">
        <w:rPr>
          <w:b/>
          <w:lang w:val="en-US"/>
        </w:rPr>
        <w:t>Corresponding authors</w:t>
      </w:r>
    </w:p>
    <w:p w14:paraId="56629582" w14:textId="77777777" w:rsidR="00173563" w:rsidRDefault="001945AC" w:rsidP="001945AC">
      <w:pPr>
        <w:spacing w:line="480" w:lineRule="auto"/>
        <w:jc w:val="both"/>
        <w:rPr>
          <w:lang w:val="en-US"/>
        </w:rPr>
      </w:pPr>
      <w:r w:rsidRPr="001945AC">
        <w:rPr>
          <w:lang w:val="en-US"/>
        </w:rPr>
        <w:t xml:space="preserve">Correspondence to </w:t>
      </w:r>
      <w:r>
        <w:rPr>
          <w:lang w:val="en-US"/>
        </w:rPr>
        <w:t>Andreas Tosstorff.</w:t>
      </w:r>
    </w:p>
    <w:p w14:paraId="0CB3EF3C" w14:textId="77777777" w:rsidR="001D0903" w:rsidRDefault="001D0903" w:rsidP="001945AC">
      <w:pPr>
        <w:spacing w:line="480" w:lineRule="auto"/>
        <w:jc w:val="both"/>
        <w:rPr>
          <w:lang w:val="en-US"/>
        </w:rPr>
      </w:pPr>
    </w:p>
    <w:p w14:paraId="4AD1E808" w14:textId="1F0E8FEB" w:rsidR="001D0903" w:rsidRDefault="001D0903" w:rsidP="001945AC">
      <w:pPr>
        <w:spacing w:line="480" w:lineRule="auto"/>
        <w:jc w:val="both"/>
        <w:rPr>
          <w:lang w:val="en-US"/>
        </w:rPr>
        <w:sectPr w:rsidR="001D0903" w:rsidSect="00AE2F57">
          <w:pgSz w:w="11906" w:h="16838"/>
          <w:pgMar w:top="1417" w:right="1417" w:bottom="1134" w:left="1417" w:header="708" w:footer="708" w:gutter="0"/>
          <w:cols w:space="708"/>
          <w:docGrid w:linePitch="360"/>
        </w:sectPr>
      </w:pPr>
    </w:p>
    <w:p w14:paraId="66BCABEB" w14:textId="6F1C390D" w:rsidR="005F30DC" w:rsidRDefault="005F0550" w:rsidP="00A129E5">
      <w:pPr>
        <w:spacing w:line="480" w:lineRule="auto"/>
        <w:rPr>
          <w:b/>
          <w:lang w:val="en-US"/>
        </w:rPr>
      </w:pPr>
      <w:r>
        <w:rPr>
          <w:b/>
          <w:lang w:val="en-US"/>
        </w:rPr>
        <w:lastRenderedPageBreak/>
        <w:t>References</w:t>
      </w:r>
    </w:p>
    <w:p w14:paraId="1C9E2247" w14:textId="70D77F5A" w:rsidR="00E77D77" w:rsidRPr="00844025" w:rsidRDefault="005F0550" w:rsidP="00E77D77">
      <w:pPr>
        <w:widowControl w:val="0"/>
        <w:autoSpaceDE w:val="0"/>
        <w:autoSpaceDN w:val="0"/>
        <w:adjustRightInd w:val="0"/>
        <w:spacing w:line="480" w:lineRule="auto"/>
        <w:ind w:left="640" w:hanging="640"/>
        <w:rPr>
          <w:rFonts w:ascii="Calibri" w:hAnsi="Calibri" w:cs="Times New Roman"/>
          <w:noProof/>
          <w:szCs w:val="24"/>
          <w:lang w:val="en-US"/>
        </w:rPr>
      </w:pPr>
      <w:r>
        <w:rPr>
          <w:b/>
          <w:lang w:val="en-US"/>
        </w:rPr>
        <w:fldChar w:fldCharType="begin" w:fldLock="1"/>
      </w:r>
      <w:r>
        <w:rPr>
          <w:b/>
          <w:lang w:val="en-US"/>
        </w:rPr>
        <w:instrText xml:space="preserve">ADDIN Mendeley Bibliography CSL_BIBLIOGRAPHY </w:instrText>
      </w:r>
      <w:r>
        <w:rPr>
          <w:b/>
          <w:lang w:val="en-US"/>
        </w:rPr>
        <w:fldChar w:fldCharType="separate"/>
      </w:r>
      <w:r w:rsidR="00E77D77" w:rsidRPr="00844025">
        <w:rPr>
          <w:rFonts w:ascii="Calibri" w:hAnsi="Calibri" w:cs="Times New Roman"/>
          <w:noProof/>
          <w:szCs w:val="24"/>
          <w:lang w:val="en-US"/>
        </w:rPr>
        <w:t xml:space="preserve">1. </w:t>
      </w:r>
      <w:r w:rsidR="00E77D77" w:rsidRPr="00844025">
        <w:rPr>
          <w:rFonts w:ascii="Calibri" w:hAnsi="Calibri" w:cs="Times New Roman"/>
          <w:noProof/>
          <w:szCs w:val="24"/>
          <w:lang w:val="en-US"/>
        </w:rPr>
        <w:tab/>
        <w:t xml:space="preserve">Ratanji KD, Derrick JP, Dearman RJ, Kimber I (2014) Immunogenicity of therapeutic proteins: Influence of aggregation. </w:t>
      </w:r>
      <w:r w:rsidR="00E77D77" w:rsidRPr="00844025">
        <w:rPr>
          <w:rFonts w:ascii="Calibri" w:hAnsi="Calibri" w:cs="Times New Roman"/>
          <w:i/>
          <w:iCs/>
          <w:noProof/>
          <w:szCs w:val="24"/>
          <w:lang w:val="en-US"/>
        </w:rPr>
        <w:t>J Immunotoxicol</w:t>
      </w:r>
      <w:r w:rsidR="00E77D77" w:rsidRPr="00844025">
        <w:rPr>
          <w:rFonts w:ascii="Calibri" w:hAnsi="Calibri" w:cs="Times New Roman"/>
          <w:noProof/>
          <w:szCs w:val="24"/>
          <w:lang w:val="en-US"/>
        </w:rPr>
        <w:t xml:space="preserve"> 11(2):99–109.</w:t>
      </w:r>
    </w:p>
    <w:p w14:paraId="7995BF6E"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t xml:space="preserve">2. </w:t>
      </w:r>
      <w:r w:rsidRPr="00844025">
        <w:rPr>
          <w:rFonts w:ascii="Calibri" w:hAnsi="Calibri" w:cs="Times New Roman"/>
          <w:noProof/>
          <w:szCs w:val="24"/>
          <w:lang w:val="en-US"/>
        </w:rPr>
        <w:tab/>
        <w:t xml:space="preserve">Wang W (2015) Advanced protein formulations. </w:t>
      </w:r>
      <w:r w:rsidRPr="00844025">
        <w:rPr>
          <w:rFonts w:ascii="Calibri" w:hAnsi="Calibri" w:cs="Times New Roman"/>
          <w:i/>
          <w:iCs/>
          <w:noProof/>
          <w:szCs w:val="24"/>
          <w:lang w:val="en-US"/>
        </w:rPr>
        <w:t>Protein Sci</w:t>
      </w:r>
      <w:r w:rsidRPr="00844025">
        <w:rPr>
          <w:rFonts w:ascii="Calibri" w:hAnsi="Calibri" w:cs="Times New Roman"/>
          <w:noProof/>
          <w:szCs w:val="24"/>
          <w:lang w:val="en-US"/>
        </w:rPr>
        <w:t xml:space="preserve"> 24(7):1031–9.</w:t>
      </w:r>
    </w:p>
    <w:p w14:paraId="00DDC8CD"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t xml:space="preserve">3. </w:t>
      </w:r>
      <w:r w:rsidRPr="00844025">
        <w:rPr>
          <w:rFonts w:ascii="Calibri" w:hAnsi="Calibri" w:cs="Times New Roman"/>
          <w:noProof/>
          <w:szCs w:val="24"/>
          <w:lang w:val="en-US"/>
        </w:rPr>
        <w:tab/>
        <w:t xml:space="preserve">Roberts CJ (2014) Protein aggregation and its impact on product quality. </w:t>
      </w:r>
      <w:r w:rsidRPr="00844025">
        <w:rPr>
          <w:rFonts w:ascii="Calibri" w:hAnsi="Calibri" w:cs="Times New Roman"/>
          <w:i/>
          <w:iCs/>
          <w:noProof/>
          <w:szCs w:val="24"/>
          <w:lang w:val="en-US"/>
        </w:rPr>
        <w:t>Curr Opin Biotechnol</w:t>
      </w:r>
      <w:r w:rsidRPr="00844025">
        <w:rPr>
          <w:rFonts w:ascii="Calibri" w:hAnsi="Calibri" w:cs="Times New Roman"/>
          <w:noProof/>
          <w:szCs w:val="24"/>
          <w:lang w:val="en-US"/>
        </w:rPr>
        <w:t xml:space="preserve"> 30(0):211–217.</w:t>
      </w:r>
    </w:p>
    <w:p w14:paraId="576D16A5"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t xml:space="preserve">4. </w:t>
      </w:r>
      <w:r w:rsidRPr="00844025">
        <w:rPr>
          <w:rFonts w:ascii="Calibri" w:hAnsi="Calibri" w:cs="Times New Roman"/>
          <w:noProof/>
          <w:szCs w:val="24"/>
          <w:lang w:val="en-US"/>
        </w:rPr>
        <w:tab/>
        <w:t xml:space="preserve">Clackson T, Wells J a (1995) A hot spot of binding energy in a hormone-receptor interface. </w:t>
      </w:r>
      <w:r w:rsidRPr="00844025">
        <w:rPr>
          <w:rFonts w:ascii="Calibri" w:hAnsi="Calibri" w:cs="Times New Roman"/>
          <w:i/>
          <w:iCs/>
          <w:noProof/>
          <w:szCs w:val="24"/>
          <w:lang w:val="en-US"/>
        </w:rPr>
        <w:t>Science (80- )</w:t>
      </w:r>
      <w:r w:rsidRPr="00844025">
        <w:rPr>
          <w:rFonts w:ascii="Calibri" w:hAnsi="Calibri" w:cs="Times New Roman"/>
          <w:noProof/>
          <w:szCs w:val="24"/>
          <w:lang w:val="en-US"/>
        </w:rPr>
        <w:t xml:space="preserve"> 267(5196):383–386.</w:t>
      </w:r>
    </w:p>
    <w:p w14:paraId="0F0A9E4C"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t xml:space="preserve">5. </w:t>
      </w:r>
      <w:r w:rsidRPr="00844025">
        <w:rPr>
          <w:rFonts w:ascii="Calibri" w:hAnsi="Calibri" w:cs="Times New Roman"/>
          <w:noProof/>
          <w:szCs w:val="24"/>
          <w:lang w:val="en-US"/>
        </w:rPr>
        <w:tab/>
        <w:t xml:space="preserve">Fernandez-Escamilla A-M, Rousseau F, Schymkowitz J, Serrano L (2004) Prediction of sequence-dependent and mutational effects on the aggregation of peptides and proteins. </w:t>
      </w:r>
      <w:r w:rsidRPr="00844025">
        <w:rPr>
          <w:rFonts w:ascii="Calibri" w:hAnsi="Calibri" w:cs="Times New Roman"/>
          <w:i/>
          <w:iCs/>
          <w:noProof/>
          <w:szCs w:val="24"/>
          <w:lang w:val="en-US"/>
        </w:rPr>
        <w:t>Nat Biotechnol</w:t>
      </w:r>
      <w:r w:rsidRPr="00844025">
        <w:rPr>
          <w:rFonts w:ascii="Calibri" w:hAnsi="Calibri" w:cs="Times New Roman"/>
          <w:noProof/>
          <w:szCs w:val="24"/>
          <w:lang w:val="en-US"/>
        </w:rPr>
        <w:t xml:space="preserve"> 22(10):1302–1306.</w:t>
      </w:r>
    </w:p>
    <w:p w14:paraId="25678D32"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t xml:space="preserve">6. </w:t>
      </w:r>
      <w:r w:rsidRPr="00844025">
        <w:rPr>
          <w:rFonts w:ascii="Calibri" w:hAnsi="Calibri" w:cs="Times New Roman"/>
          <w:noProof/>
          <w:szCs w:val="24"/>
          <w:lang w:val="en-US"/>
        </w:rPr>
        <w:tab/>
        <w:t xml:space="preserve">Conchillo-Solé O, et al. (2007) AGGRESCAN: a server for the prediction and evaluation of “hot spots” of aggregation in polypeptides. </w:t>
      </w:r>
      <w:r w:rsidRPr="00844025">
        <w:rPr>
          <w:rFonts w:ascii="Calibri" w:hAnsi="Calibri" w:cs="Times New Roman"/>
          <w:i/>
          <w:iCs/>
          <w:noProof/>
          <w:szCs w:val="24"/>
          <w:lang w:val="en-US"/>
        </w:rPr>
        <w:t>BMC Bioinformatics</w:t>
      </w:r>
      <w:r w:rsidRPr="00844025">
        <w:rPr>
          <w:rFonts w:ascii="Calibri" w:hAnsi="Calibri" w:cs="Times New Roman"/>
          <w:noProof/>
          <w:szCs w:val="24"/>
          <w:lang w:val="en-US"/>
        </w:rPr>
        <w:t xml:space="preserve"> 65(8). doi:10.1186/1471-2105-8-65.</w:t>
      </w:r>
    </w:p>
    <w:p w14:paraId="10A08ADD"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t xml:space="preserve">7. </w:t>
      </w:r>
      <w:r w:rsidRPr="00844025">
        <w:rPr>
          <w:rFonts w:ascii="Calibri" w:hAnsi="Calibri" w:cs="Times New Roman"/>
          <w:noProof/>
          <w:szCs w:val="24"/>
          <w:lang w:val="en-US"/>
        </w:rPr>
        <w:tab/>
        <w:t xml:space="preserve">Trovato A, Seno F, Tosatto SCE (2007) The PASTA server for protein aggregation prediction. </w:t>
      </w:r>
      <w:r w:rsidRPr="00844025">
        <w:rPr>
          <w:rFonts w:ascii="Calibri" w:hAnsi="Calibri" w:cs="Times New Roman"/>
          <w:i/>
          <w:iCs/>
          <w:noProof/>
          <w:szCs w:val="24"/>
          <w:lang w:val="en-US"/>
        </w:rPr>
        <w:t>Protein Eng Des Sel</w:t>
      </w:r>
      <w:r w:rsidRPr="00844025">
        <w:rPr>
          <w:rFonts w:ascii="Calibri" w:hAnsi="Calibri" w:cs="Times New Roman"/>
          <w:noProof/>
          <w:szCs w:val="24"/>
          <w:lang w:val="en-US"/>
        </w:rPr>
        <w:t xml:space="preserve"> 20(10):521–523.</w:t>
      </w:r>
    </w:p>
    <w:p w14:paraId="79FBEFA3"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t xml:space="preserve">8. </w:t>
      </w:r>
      <w:r w:rsidRPr="00844025">
        <w:rPr>
          <w:rFonts w:ascii="Calibri" w:hAnsi="Calibri" w:cs="Times New Roman"/>
          <w:noProof/>
          <w:szCs w:val="24"/>
          <w:lang w:val="en-US"/>
        </w:rPr>
        <w:tab/>
        <w:t xml:space="preserve">Zambrano R, et al. (2015) AGGRESCAN3D (A3D): Server for prediction of aggregation properties of protein structures. </w:t>
      </w:r>
      <w:r w:rsidRPr="00844025">
        <w:rPr>
          <w:rFonts w:ascii="Calibri" w:hAnsi="Calibri" w:cs="Times New Roman"/>
          <w:i/>
          <w:iCs/>
          <w:noProof/>
          <w:szCs w:val="24"/>
          <w:lang w:val="en-US"/>
        </w:rPr>
        <w:t>Nucleic Acids Res</w:t>
      </w:r>
      <w:r w:rsidRPr="00844025">
        <w:rPr>
          <w:rFonts w:ascii="Calibri" w:hAnsi="Calibri" w:cs="Times New Roman"/>
          <w:noProof/>
          <w:szCs w:val="24"/>
          <w:lang w:val="en-US"/>
        </w:rPr>
        <w:t xml:space="preserve"> 43(W1):W306–W313.</w:t>
      </w:r>
    </w:p>
    <w:p w14:paraId="512538A0"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t xml:space="preserve">9. </w:t>
      </w:r>
      <w:r w:rsidRPr="00844025">
        <w:rPr>
          <w:rFonts w:ascii="Calibri" w:hAnsi="Calibri" w:cs="Times New Roman"/>
          <w:noProof/>
          <w:szCs w:val="24"/>
          <w:lang w:val="en-US"/>
        </w:rPr>
        <w:tab/>
        <w:t xml:space="preserve">Barata TS, Zhang C, Dalby PA, Brocchini S, Zloh M (2016) Identification of protein-excipient interaction hotspots using computational approaches. </w:t>
      </w:r>
      <w:r w:rsidRPr="00844025">
        <w:rPr>
          <w:rFonts w:ascii="Calibri" w:hAnsi="Calibri" w:cs="Times New Roman"/>
          <w:i/>
          <w:iCs/>
          <w:noProof/>
          <w:szCs w:val="24"/>
          <w:lang w:val="en-US"/>
        </w:rPr>
        <w:t>Int J Mol Sci</w:t>
      </w:r>
      <w:r w:rsidRPr="00844025">
        <w:rPr>
          <w:rFonts w:ascii="Calibri" w:hAnsi="Calibri" w:cs="Times New Roman"/>
          <w:noProof/>
          <w:szCs w:val="24"/>
          <w:lang w:val="en-US"/>
        </w:rPr>
        <w:t xml:space="preserve"> 17(6). doi:10.3390/ijms17060853.</w:t>
      </w:r>
    </w:p>
    <w:p w14:paraId="1BFA2812"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t xml:space="preserve">10. </w:t>
      </w:r>
      <w:r w:rsidRPr="00844025">
        <w:rPr>
          <w:rFonts w:ascii="Calibri" w:hAnsi="Calibri" w:cs="Times New Roman"/>
          <w:noProof/>
          <w:szCs w:val="24"/>
          <w:lang w:val="en-US"/>
        </w:rPr>
        <w:tab/>
        <w:t xml:space="preserve">Kheddo P, et al. (2014) The effect of arginine glutamate on the stability of monoclonal antibodies in solution. </w:t>
      </w:r>
      <w:r w:rsidRPr="00844025">
        <w:rPr>
          <w:rFonts w:ascii="Calibri" w:hAnsi="Calibri" w:cs="Times New Roman"/>
          <w:i/>
          <w:iCs/>
          <w:noProof/>
          <w:szCs w:val="24"/>
          <w:lang w:val="en-US"/>
        </w:rPr>
        <w:t>Int J Pharm</w:t>
      </w:r>
      <w:r w:rsidRPr="00844025">
        <w:rPr>
          <w:rFonts w:ascii="Calibri" w:hAnsi="Calibri" w:cs="Times New Roman"/>
          <w:noProof/>
          <w:szCs w:val="24"/>
          <w:lang w:val="en-US"/>
        </w:rPr>
        <w:t xml:space="preserve"> 473:126–133.</w:t>
      </w:r>
    </w:p>
    <w:p w14:paraId="66DFFB20"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lastRenderedPageBreak/>
        <w:t xml:space="preserve">11. </w:t>
      </w:r>
      <w:r w:rsidRPr="00844025">
        <w:rPr>
          <w:rFonts w:ascii="Calibri" w:hAnsi="Calibri" w:cs="Times New Roman"/>
          <w:noProof/>
          <w:szCs w:val="24"/>
          <w:lang w:val="en-US"/>
        </w:rPr>
        <w:tab/>
        <w:t xml:space="preserve">Veurink M, Westermaier Y, Gurny R, Scapozza L (2013) Breaking the aggregation of the monoclonal antibody bevacizumab (Avastin®) by dexamethasone phosphate: Insights from molecular modelling and asymmetrical flow field-flow fractionation. </w:t>
      </w:r>
      <w:r w:rsidRPr="00844025">
        <w:rPr>
          <w:rFonts w:ascii="Calibri" w:hAnsi="Calibri" w:cs="Times New Roman"/>
          <w:i/>
          <w:iCs/>
          <w:noProof/>
          <w:szCs w:val="24"/>
          <w:lang w:val="en-US"/>
        </w:rPr>
        <w:t>Pharm Res</w:t>
      </w:r>
      <w:r w:rsidRPr="00844025">
        <w:rPr>
          <w:rFonts w:ascii="Calibri" w:hAnsi="Calibri" w:cs="Times New Roman"/>
          <w:noProof/>
          <w:szCs w:val="24"/>
          <w:lang w:val="en-US"/>
        </w:rPr>
        <w:t xml:space="preserve"> 30(4):1176–1187.</w:t>
      </w:r>
    </w:p>
    <w:p w14:paraId="39B1EA7E"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t xml:space="preserve">12. </w:t>
      </w:r>
      <w:r w:rsidRPr="00844025">
        <w:rPr>
          <w:rFonts w:ascii="Calibri" w:hAnsi="Calibri" w:cs="Times New Roman"/>
          <w:noProof/>
          <w:szCs w:val="24"/>
          <w:lang w:val="en-US"/>
        </w:rPr>
        <w:tab/>
        <w:t xml:space="preserve">Westermaier Y, et al. (2013) Identification of aggregation breakers for bevacizumab (Avastin®) self-association through similarity searching and interaction studies. </w:t>
      </w:r>
      <w:r w:rsidRPr="00844025">
        <w:rPr>
          <w:rFonts w:ascii="Calibri" w:hAnsi="Calibri" w:cs="Times New Roman"/>
          <w:i/>
          <w:iCs/>
          <w:noProof/>
          <w:szCs w:val="24"/>
          <w:lang w:val="en-US"/>
        </w:rPr>
        <w:t>Eur J Pharm Biopharm</w:t>
      </w:r>
      <w:r w:rsidRPr="00844025">
        <w:rPr>
          <w:rFonts w:ascii="Calibri" w:hAnsi="Calibri" w:cs="Times New Roman"/>
          <w:noProof/>
          <w:szCs w:val="24"/>
          <w:lang w:val="en-US"/>
        </w:rPr>
        <w:t xml:space="preserve"> 85(3 PART A):773–780.</w:t>
      </w:r>
    </w:p>
    <w:p w14:paraId="797DC4E1"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t xml:space="preserve">13. </w:t>
      </w:r>
      <w:r w:rsidRPr="00844025">
        <w:rPr>
          <w:rFonts w:ascii="Calibri" w:hAnsi="Calibri" w:cs="Times New Roman"/>
          <w:noProof/>
          <w:szCs w:val="24"/>
          <w:lang w:val="en-US"/>
        </w:rPr>
        <w:tab/>
        <w:t xml:space="preserve">Veurink M, Stella C, Tabatabay C, Pournaras CJ, Gurny R (2011) Association of ranibizumab (Lucentis®) or bevacizumab (Avastin®) with dexamethasone and triamcinolone acetonide: An in vitro stability assessment. </w:t>
      </w:r>
      <w:r w:rsidRPr="00844025">
        <w:rPr>
          <w:rFonts w:ascii="Calibri" w:hAnsi="Calibri" w:cs="Times New Roman"/>
          <w:i/>
          <w:iCs/>
          <w:noProof/>
          <w:szCs w:val="24"/>
          <w:lang w:val="en-US"/>
        </w:rPr>
        <w:t>Eur J Pharm Biopharm</w:t>
      </w:r>
      <w:r w:rsidRPr="00844025">
        <w:rPr>
          <w:rFonts w:ascii="Calibri" w:hAnsi="Calibri" w:cs="Times New Roman"/>
          <w:noProof/>
          <w:szCs w:val="24"/>
          <w:lang w:val="en-US"/>
        </w:rPr>
        <w:t xml:space="preserve"> 78(2):271–277.</w:t>
      </w:r>
    </w:p>
    <w:p w14:paraId="68F6D529"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t xml:space="preserve">14. </w:t>
      </w:r>
      <w:r w:rsidRPr="00844025">
        <w:rPr>
          <w:rFonts w:ascii="Calibri" w:hAnsi="Calibri" w:cs="Times New Roman"/>
          <w:noProof/>
          <w:szCs w:val="24"/>
          <w:lang w:val="en-US"/>
        </w:rPr>
        <w:tab/>
        <w:t xml:space="preserve">Zhang A, Singh SK, Shirts MR, Kumar S, Fernandez EJ (2012) Distinct aggregation mechanisms of monoclonal antibody under thermal and freeze-thaw stresses revealed by hydrogen exchange. </w:t>
      </w:r>
      <w:r w:rsidRPr="00844025">
        <w:rPr>
          <w:rFonts w:ascii="Calibri" w:hAnsi="Calibri" w:cs="Times New Roman"/>
          <w:i/>
          <w:iCs/>
          <w:noProof/>
          <w:szCs w:val="24"/>
          <w:lang w:val="en-US"/>
        </w:rPr>
        <w:t>Pharm Res</w:t>
      </w:r>
      <w:r w:rsidRPr="00844025">
        <w:rPr>
          <w:rFonts w:ascii="Calibri" w:hAnsi="Calibri" w:cs="Times New Roman"/>
          <w:noProof/>
          <w:szCs w:val="24"/>
          <w:lang w:val="en-US"/>
        </w:rPr>
        <w:t xml:space="preserve"> 29(1):236–250.</w:t>
      </w:r>
    </w:p>
    <w:p w14:paraId="605C759C"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t xml:space="preserve">15. </w:t>
      </w:r>
      <w:r w:rsidRPr="00844025">
        <w:rPr>
          <w:rFonts w:ascii="Calibri" w:hAnsi="Calibri" w:cs="Times New Roman"/>
          <w:noProof/>
          <w:szCs w:val="24"/>
          <w:lang w:val="en-US"/>
        </w:rPr>
        <w:tab/>
        <w:t xml:space="preserve">Jin L, Wang W, Fang G (2014) Targeting Protein-Protein Interaction by Small Molecules. </w:t>
      </w:r>
      <w:r w:rsidRPr="00844025">
        <w:rPr>
          <w:rFonts w:ascii="Calibri" w:hAnsi="Calibri" w:cs="Times New Roman"/>
          <w:i/>
          <w:iCs/>
          <w:noProof/>
          <w:szCs w:val="24"/>
          <w:lang w:val="en-US"/>
        </w:rPr>
        <w:t>Annu Rev Pharmacol Toxicol</w:t>
      </w:r>
      <w:r w:rsidRPr="00844025">
        <w:rPr>
          <w:rFonts w:ascii="Calibri" w:hAnsi="Calibri" w:cs="Times New Roman"/>
          <w:noProof/>
          <w:szCs w:val="24"/>
          <w:lang w:val="en-US"/>
        </w:rPr>
        <w:t xml:space="preserve"> 54(1):435–456.</w:t>
      </w:r>
    </w:p>
    <w:p w14:paraId="5618DB34"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t xml:space="preserve">16. </w:t>
      </w:r>
      <w:r w:rsidRPr="00844025">
        <w:rPr>
          <w:rFonts w:ascii="Calibri" w:hAnsi="Calibri" w:cs="Times New Roman"/>
          <w:noProof/>
          <w:szCs w:val="24"/>
          <w:lang w:val="en-US"/>
        </w:rPr>
        <w:tab/>
        <w:t xml:space="preserve">Shoichet BK (2004) Virtual screening of chemical libraries. </w:t>
      </w:r>
      <w:r w:rsidRPr="00844025">
        <w:rPr>
          <w:rFonts w:ascii="Calibri" w:hAnsi="Calibri" w:cs="Times New Roman"/>
          <w:i/>
          <w:iCs/>
          <w:noProof/>
          <w:szCs w:val="24"/>
          <w:lang w:val="en-US"/>
        </w:rPr>
        <w:t>Nature</w:t>
      </w:r>
      <w:r w:rsidRPr="00844025">
        <w:rPr>
          <w:rFonts w:ascii="Calibri" w:hAnsi="Calibri" w:cs="Times New Roman"/>
          <w:noProof/>
          <w:szCs w:val="24"/>
          <w:lang w:val="en-US"/>
        </w:rPr>
        <w:t xml:space="preserve"> 432(7019):862–865.</w:t>
      </w:r>
    </w:p>
    <w:p w14:paraId="129E4B8F"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t xml:space="preserve">17. </w:t>
      </w:r>
      <w:r w:rsidRPr="00844025">
        <w:rPr>
          <w:rFonts w:ascii="Calibri" w:hAnsi="Calibri" w:cs="Times New Roman"/>
          <w:noProof/>
          <w:szCs w:val="24"/>
          <w:lang w:val="en-US"/>
        </w:rPr>
        <w:tab/>
        <w:t xml:space="preserve">Sterling T, Irwin JJ (2015) ZINC 15 – Ligand Discovery for Everyone. </w:t>
      </w:r>
      <w:r w:rsidRPr="00844025">
        <w:rPr>
          <w:rFonts w:ascii="Calibri" w:hAnsi="Calibri" w:cs="Times New Roman"/>
          <w:i/>
          <w:iCs/>
          <w:noProof/>
          <w:szCs w:val="24"/>
          <w:lang w:val="en-US"/>
        </w:rPr>
        <w:t>J Chem Inf Model</w:t>
      </w:r>
      <w:r w:rsidRPr="00844025">
        <w:rPr>
          <w:rFonts w:ascii="Calibri" w:hAnsi="Calibri" w:cs="Times New Roman"/>
          <w:noProof/>
          <w:szCs w:val="24"/>
          <w:lang w:val="en-US"/>
        </w:rPr>
        <w:t xml:space="preserve"> 55(11):2324–2337.</w:t>
      </w:r>
    </w:p>
    <w:p w14:paraId="5DC5757A"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t xml:space="preserve">18. </w:t>
      </w:r>
      <w:r w:rsidRPr="00844025">
        <w:rPr>
          <w:rFonts w:ascii="Calibri" w:hAnsi="Calibri" w:cs="Times New Roman"/>
          <w:noProof/>
          <w:szCs w:val="24"/>
          <w:lang w:val="en-US"/>
        </w:rPr>
        <w:tab/>
        <w:t xml:space="preserve">Repasky MP, et al. (2012) Docking performance of the glide program as evaluated on the Astex and DUD datasets: A complete set of glide SP results and selected results for a new scoring function integrating WaterMap and glide. </w:t>
      </w:r>
      <w:r w:rsidRPr="00844025">
        <w:rPr>
          <w:rFonts w:ascii="Calibri" w:hAnsi="Calibri" w:cs="Times New Roman"/>
          <w:i/>
          <w:iCs/>
          <w:noProof/>
          <w:szCs w:val="24"/>
          <w:lang w:val="en-US"/>
        </w:rPr>
        <w:t>J Comput Aided Mol Des</w:t>
      </w:r>
      <w:r w:rsidRPr="00844025">
        <w:rPr>
          <w:rFonts w:ascii="Calibri" w:hAnsi="Calibri" w:cs="Times New Roman"/>
          <w:noProof/>
          <w:szCs w:val="24"/>
          <w:lang w:val="en-US"/>
        </w:rPr>
        <w:t xml:space="preserve"> 26(6):787–799.</w:t>
      </w:r>
    </w:p>
    <w:p w14:paraId="7B38C2ED"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t xml:space="preserve">19. </w:t>
      </w:r>
      <w:r w:rsidRPr="00844025">
        <w:rPr>
          <w:rFonts w:ascii="Calibri" w:hAnsi="Calibri" w:cs="Times New Roman"/>
          <w:noProof/>
          <w:szCs w:val="24"/>
          <w:lang w:val="en-US"/>
        </w:rPr>
        <w:tab/>
        <w:t xml:space="preserve">Trott O, Olson A (2010) Autodock vina: improving the speed and accuracy of docking. </w:t>
      </w:r>
      <w:r w:rsidRPr="00844025">
        <w:rPr>
          <w:rFonts w:ascii="Calibri" w:hAnsi="Calibri" w:cs="Times New Roman"/>
          <w:i/>
          <w:iCs/>
          <w:noProof/>
          <w:szCs w:val="24"/>
          <w:lang w:val="en-US"/>
        </w:rPr>
        <w:t>J Comput Chem</w:t>
      </w:r>
      <w:r w:rsidRPr="00844025">
        <w:rPr>
          <w:rFonts w:ascii="Calibri" w:hAnsi="Calibri" w:cs="Times New Roman"/>
          <w:noProof/>
          <w:szCs w:val="24"/>
          <w:lang w:val="en-US"/>
        </w:rPr>
        <w:t xml:space="preserve"> 31(2):455–461.</w:t>
      </w:r>
    </w:p>
    <w:p w14:paraId="4B9AF6BB"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t xml:space="preserve">20. </w:t>
      </w:r>
      <w:r w:rsidRPr="00844025">
        <w:rPr>
          <w:rFonts w:ascii="Calibri" w:hAnsi="Calibri" w:cs="Times New Roman"/>
          <w:noProof/>
          <w:szCs w:val="24"/>
          <w:lang w:val="en-US"/>
        </w:rPr>
        <w:tab/>
        <w:t xml:space="preserve">Jones G, Willett P, Glen RC, Leach AR, Taylor R (1997) Development and validation of a genetic </w:t>
      </w:r>
      <w:r w:rsidRPr="00844025">
        <w:rPr>
          <w:rFonts w:ascii="Calibri" w:hAnsi="Calibri" w:cs="Times New Roman"/>
          <w:noProof/>
          <w:szCs w:val="24"/>
          <w:lang w:val="en-US"/>
        </w:rPr>
        <w:lastRenderedPageBreak/>
        <w:t xml:space="preserve">algorithm for flexible docking. </w:t>
      </w:r>
      <w:r w:rsidRPr="00844025">
        <w:rPr>
          <w:rFonts w:ascii="Calibri" w:hAnsi="Calibri" w:cs="Times New Roman"/>
          <w:i/>
          <w:iCs/>
          <w:noProof/>
          <w:szCs w:val="24"/>
          <w:lang w:val="en-US"/>
        </w:rPr>
        <w:t>J Mol Biol</w:t>
      </w:r>
      <w:r w:rsidRPr="00844025">
        <w:rPr>
          <w:rFonts w:ascii="Calibri" w:hAnsi="Calibri" w:cs="Times New Roman"/>
          <w:noProof/>
          <w:szCs w:val="24"/>
          <w:lang w:val="en-US"/>
        </w:rPr>
        <w:t xml:space="preserve"> 267(3):727–748.</w:t>
      </w:r>
    </w:p>
    <w:p w14:paraId="12F84EDC"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t xml:space="preserve">21. </w:t>
      </w:r>
      <w:r w:rsidRPr="00844025">
        <w:rPr>
          <w:rFonts w:ascii="Calibri" w:hAnsi="Calibri" w:cs="Times New Roman"/>
          <w:noProof/>
          <w:szCs w:val="24"/>
          <w:lang w:val="en-US"/>
        </w:rPr>
        <w:tab/>
        <w:t xml:space="preserve">Korb O, et al. (2012) Potential and limitations of ensemble docking. </w:t>
      </w:r>
      <w:r w:rsidRPr="00844025">
        <w:rPr>
          <w:rFonts w:ascii="Calibri" w:hAnsi="Calibri" w:cs="Times New Roman"/>
          <w:i/>
          <w:iCs/>
          <w:noProof/>
          <w:szCs w:val="24"/>
          <w:lang w:val="en-US"/>
        </w:rPr>
        <w:t>J Chem Inf Model</w:t>
      </w:r>
      <w:r w:rsidRPr="00844025">
        <w:rPr>
          <w:rFonts w:ascii="Calibri" w:hAnsi="Calibri" w:cs="Times New Roman"/>
          <w:noProof/>
          <w:szCs w:val="24"/>
          <w:lang w:val="en-US"/>
        </w:rPr>
        <w:t xml:space="preserve"> 52(5):1262–1274.</w:t>
      </w:r>
    </w:p>
    <w:p w14:paraId="5AF6091D"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t xml:space="preserve">22. </w:t>
      </w:r>
      <w:r w:rsidRPr="00844025">
        <w:rPr>
          <w:rFonts w:ascii="Calibri" w:hAnsi="Calibri" w:cs="Times New Roman"/>
          <w:noProof/>
          <w:szCs w:val="24"/>
          <w:lang w:val="en-US"/>
        </w:rPr>
        <w:tab/>
        <w:t xml:space="preserve">Buch I, Giorgino T, De Fabritiis G (2011) Complete reconstruction of an enzyme-inhibitor binding process by molecular dynamics simulations. </w:t>
      </w:r>
      <w:r w:rsidRPr="00844025">
        <w:rPr>
          <w:rFonts w:ascii="Calibri" w:hAnsi="Calibri" w:cs="Times New Roman"/>
          <w:i/>
          <w:iCs/>
          <w:noProof/>
          <w:szCs w:val="24"/>
          <w:lang w:val="en-US"/>
        </w:rPr>
        <w:t>Proc Natl Acad Sci U S A</w:t>
      </w:r>
      <w:r w:rsidRPr="00844025">
        <w:rPr>
          <w:rFonts w:ascii="Calibri" w:hAnsi="Calibri" w:cs="Times New Roman"/>
          <w:noProof/>
          <w:szCs w:val="24"/>
          <w:lang w:val="en-US"/>
        </w:rPr>
        <w:t xml:space="preserve"> 108(25):10184–9.</w:t>
      </w:r>
    </w:p>
    <w:p w14:paraId="2BC88A68"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t xml:space="preserve">23. </w:t>
      </w:r>
      <w:r w:rsidRPr="00844025">
        <w:rPr>
          <w:rFonts w:ascii="Calibri" w:hAnsi="Calibri" w:cs="Times New Roman"/>
          <w:noProof/>
          <w:szCs w:val="24"/>
          <w:lang w:val="en-US"/>
        </w:rPr>
        <w:tab/>
        <w:t xml:space="preserve">Barducci A, Bonomi M, Parrinello M (2011) Metadynamics. </w:t>
      </w:r>
      <w:r w:rsidRPr="00844025">
        <w:rPr>
          <w:rFonts w:ascii="Calibri" w:hAnsi="Calibri" w:cs="Times New Roman"/>
          <w:i/>
          <w:iCs/>
          <w:noProof/>
          <w:szCs w:val="24"/>
          <w:lang w:val="en-US"/>
        </w:rPr>
        <w:t>Wiley Interdiscip Rev Comput Mol Sci</w:t>
      </w:r>
      <w:r w:rsidRPr="00844025">
        <w:rPr>
          <w:rFonts w:ascii="Calibri" w:hAnsi="Calibri" w:cs="Times New Roman"/>
          <w:noProof/>
          <w:szCs w:val="24"/>
          <w:lang w:val="en-US"/>
        </w:rPr>
        <w:t xml:space="preserve"> 1(5):826–843.</w:t>
      </w:r>
    </w:p>
    <w:p w14:paraId="47728EB3"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t xml:space="preserve">24. </w:t>
      </w:r>
      <w:r w:rsidRPr="00844025">
        <w:rPr>
          <w:rFonts w:ascii="Calibri" w:hAnsi="Calibri" w:cs="Times New Roman"/>
          <w:noProof/>
          <w:szCs w:val="24"/>
          <w:lang w:val="en-US"/>
        </w:rPr>
        <w:tab/>
        <w:t xml:space="preserve">Woo H-J, Roux B (2005) Calculation of absolute protein-ligand binding free energy from computer simulations. </w:t>
      </w:r>
      <w:r w:rsidRPr="00844025">
        <w:rPr>
          <w:rFonts w:ascii="Calibri" w:hAnsi="Calibri" w:cs="Times New Roman"/>
          <w:i/>
          <w:iCs/>
          <w:noProof/>
          <w:szCs w:val="24"/>
          <w:lang w:val="en-US"/>
        </w:rPr>
        <w:t>Proc Natl Acad Sci U S A</w:t>
      </w:r>
      <w:r w:rsidRPr="00844025">
        <w:rPr>
          <w:rFonts w:ascii="Calibri" w:hAnsi="Calibri" w:cs="Times New Roman"/>
          <w:noProof/>
          <w:szCs w:val="24"/>
          <w:lang w:val="en-US"/>
        </w:rPr>
        <w:t xml:space="preserve"> 102(19):6825–30.</w:t>
      </w:r>
    </w:p>
    <w:p w14:paraId="10D9377B"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t xml:space="preserve">25. </w:t>
      </w:r>
      <w:r w:rsidRPr="00844025">
        <w:rPr>
          <w:rFonts w:ascii="Calibri" w:hAnsi="Calibri" w:cs="Times New Roman"/>
          <w:noProof/>
          <w:szCs w:val="24"/>
          <w:lang w:val="en-US"/>
        </w:rPr>
        <w:tab/>
        <w:t xml:space="preserve">Velez-Vega C, Gilson MK (2012) Force and stress along simulated dissociation pathways of cucurbituril-guest systems. </w:t>
      </w:r>
      <w:r w:rsidRPr="00844025">
        <w:rPr>
          <w:rFonts w:ascii="Calibri" w:hAnsi="Calibri" w:cs="Times New Roman"/>
          <w:i/>
          <w:iCs/>
          <w:noProof/>
          <w:szCs w:val="24"/>
          <w:lang w:val="en-US"/>
        </w:rPr>
        <w:t>J Chem Theory Comput</w:t>
      </w:r>
      <w:r w:rsidRPr="00844025">
        <w:rPr>
          <w:rFonts w:ascii="Calibri" w:hAnsi="Calibri" w:cs="Times New Roman"/>
          <w:noProof/>
          <w:szCs w:val="24"/>
          <w:lang w:val="en-US"/>
        </w:rPr>
        <w:t xml:space="preserve"> 8(3):966–976.</w:t>
      </w:r>
    </w:p>
    <w:p w14:paraId="783223FA"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t xml:space="preserve">26. </w:t>
      </w:r>
      <w:r w:rsidRPr="00844025">
        <w:rPr>
          <w:rFonts w:ascii="Calibri" w:hAnsi="Calibri" w:cs="Times New Roman"/>
          <w:noProof/>
          <w:szCs w:val="24"/>
          <w:lang w:val="en-US"/>
        </w:rPr>
        <w:tab/>
        <w:t xml:space="preserve">Velez-Vega C, Gilson MK (2013) Overcoming dissipation in the calculation of standard binding free energies by ligand extraction. </w:t>
      </w:r>
      <w:r w:rsidRPr="00844025">
        <w:rPr>
          <w:rFonts w:ascii="Calibri" w:hAnsi="Calibri" w:cs="Times New Roman"/>
          <w:i/>
          <w:iCs/>
          <w:noProof/>
          <w:szCs w:val="24"/>
          <w:lang w:val="en-US"/>
        </w:rPr>
        <w:t>J Comput Chem</w:t>
      </w:r>
      <w:r w:rsidRPr="00844025">
        <w:rPr>
          <w:rFonts w:ascii="Calibri" w:hAnsi="Calibri" w:cs="Times New Roman"/>
          <w:noProof/>
          <w:szCs w:val="24"/>
          <w:lang w:val="en-US"/>
        </w:rPr>
        <w:t xml:space="preserve"> 34(27):2360–2371.</w:t>
      </w:r>
    </w:p>
    <w:p w14:paraId="369B13CC"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t xml:space="preserve">27. </w:t>
      </w:r>
      <w:r w:rsidRPr="00844025">
        <w:rPr>
          <w:rFonts w:ascii="Calibri" w:hAnsi="Calibri" w:cs="Times New Roman"/>
          <w:noProof/>
          <w:szCs w:val="24"/>
          <w:lang w:val="en-US"/>
        </w:rPr>
        <w:tab/>
        <w:t xml:space="preserve">Gilson MK, Given JA, Bush BL, McCammon JA (1997) The statistical-thermodynamic basis for computation of binding affinities: A critical review. </w:t>
      </w:r>
      <w:r w:rsidRPr="00844025">
        <w:rPr>
          <w:rFonts w:ascii="Calibri" w:hAnsi="Calibri" w:cs="Times New Roman"/>
          <w:i/>
          <w:iCs/>
          <w:noProof/>
          <w:szCs w:val="24"/>
          <w:lang w:val="en-US"/>
        </w:rPr>
        <w:t>Biophys J</w:t>
      </w:r>
      <w:r w:rsidRPr="00844025">
        <w:rPr>
          <w:rFonts w:ascii="Calibri" w:hAnsi="Calibri" w:cs="Times New Roman"/>
          <w:noProof/>
          <w:szCs w:val="24"/>
          <w:lang w:val="en-US"/>
        </w:rPr>
        <w:t xml:space="preserve"> 72:1047–1069.</w:t>
      </w:r>
    </w:p>
    <w:p w14:paraId="76535B30"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t xml:space="preserve">28. </w:t>
      </w:r>
      <w:r w:rsidRPr="00844025">
        <w:rPr>
          <w:rFonts w:ascii="Calibri" w:hAnsi="Calibri" w:cs="Times New Roman"/>
          <w:noProof/>
          <w:szCs w:val="24"/>
          <w:lang w:val="en-US"/>
        </w:rPr>
        <w:tab/>
        <w:t xml:space="preserve">Henriksen NM, Fenley AT, Gilson MK (2015) Computational Calorimetry: High-Precision Calculation of Host-Guest Binding Thermodynamics. </w:t>
      </w:r>
      <w:r w:rsidRPr="00844025">
        <w:rPr>
          <w:rFonts w:ascii="Calibri" w:hAnsi="Calibri" w:cs="Times New Roman"/>
          <w:i/>
          <w:iCs/>
          <w:noProof/>
          <w:szCs w:val="24"/>
          <w:lang w:val="en-US"/>
        </w:rPr>
        <w:t>J Chem Theory Comput</w:t>
      </w:r>
      <w:r w:rsidRPr="00844025">
        <w:rPr>
          <w:rFonts w:ascii="Calibri" w:hAnsi="Calibri" w:cs="Times New Roman"/>
          <w:noProof/>
          <w:szCs w:val="24"/>
          <w:lang w:val="en-US"/>
        </w:rPr>
        <w:t xml:space="preserve"> 11(9):4377–4394.</w:t>
      </w:r>
    </w:p>
    <w:p w14:paraId="76DE37B8"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t xml:space="preserve">29. </w:t>
      </w:r>
      <w:r w:rsidRPr="00844025">
        <w:rPr>
          <w:rFonts w:ascii="Calibri" w:hAnsi="Calibri" w:cs="Times New Roman"/>
          <w:noProof/>
          <w:szCs w:val="24"/>
          <w:lang w:val="en-US"/>
        </w:rPr>
        <w:tab/>
        <w:t xml:space="preserve">Jorgensen WL, Duffy EM (2002) Prediction of drug solubility from structure. </w:t>
      </w:r>
      <w:r w:rsidRPr="00844025">
        <w:rPr>
          <w:rFonts w:ascii="Calibri" w:hAnsi="Calibri" w:cs="Times New Roman"/>
          <w:i/>
          <w:iCs/>
          <w:noProof/>
          <w:szCs w:val="24"/>
          <w:lang w:val="en-US"/>
        </w:rPr>
        <w:t>Adv Drug Deliv Rev</w:t>
      </w:r>
      <w:r w:rsidRPr="00844025">
        <w:rPr>
          <w:rFonts w:ascii="Calibri" w:hAnsi="Calibri" w:cs="Times New Roman"/>
          <w:noProof/>
          <w:szCs w:val="24"/>
          <w:lang w:val="en-US"/>
        </w:rPr>
        <w:t xml:space="preserve"> 54:355–366.</w:t>
      </w:r>
    </w:p>
    <w:p w14:paraId="460C94A4"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t xml:space="preserve">30. </w:t>
      </w:r>
      <w:r w:rsidRPr="00844025">
        <w:rPr>
          <w:rFonts w:ascii="Calibri" w:hAnsi="Calibri" w:cs="Times New Roman"/>
          <w:noProof/>
          <w:szCs w:val="24"/>
          <w:lang w:val="en-US"/>
        </w:rPr>
        <w:tab/>
        <w:t xml:space="preserve">Klopman G, Wang S, Balthasar DM (1992) Estimation of Aqueous Solubility of Organic Molecules by the Group Contribution Approach. Application to the Study of Biodegradation. </w:t>
      </w:r>
      <w:r w:rsidRPr="00844025">
        <w:rPr>
          <w:rFonts w:ascii="Calibri" w:hAnsi="Calibri" w:cs="Times New Roman"/>
          <w:i/>
          <w:iCs/>
          <w:noProof/>
          <w:szCs w:val="24"/>
          <w:lang w:val="en-US"/>
        </w:rPr>
        <w:t>J Chem Inf Comput Sci</w:t>
      </w:r>
      <w:r w:rsidRPr="00844025">
        <w:rPr>
          <w:rFonts w:ascii="Calibri" w:hAnsi="Calibri" w:cs="Times New Roman"/>
          <w:noProof/>
          <w:szCs w:val="24"/>
          <w:lang w:val="en-US"/>
        </w:rPr>
        <w:t xml:space="preserve"> 32:474–482.</w:t>
      </w:r>
    </w:p>
    <w:p w14:paraId="6BAF28B9"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lastRenderedPageBreak/>
        <w:t xml:space="preserve">31. </w:t>
      </w:r>
      <w:r w:rsidRPr="00844025">
        <w:rPr>
          <w:rFonts w:ascii="Calibri" w:hAnsi="Calibri" w:cs="Times New Roman"/>
          <w:noProof/>
          <w:szCs w:val="24"/>
          <w:lang w:val="en-US"/>
        </w:rPr>
        <w:tab/>
        <w:t xml:space="preserve">Kühne R, Ebert R-U, Kleint F, Schmidt G, Schüürmann G (1995) Group contribution methods to estimate water solubility of organic chemicals. </w:t>
      </w:r>
      <w:r w:rsidRPr="00844025">
        <w:rPr>
          <w:rFonts w:ascii="Calibri" w:hAnsi="Calibri" w:cs="Times New Roman"/>
          <w:i/>
          <w:iCs/>
          <w:noProof/>
          <w:szCs w:val="24"/>
          <w:lang w:val="en-US"/>
        </w:rPr>
        <w:t>Chemosphere</w:t>
      </w:r>
      <w:r w:rsidRPr="00844025">
        <w:rPr>
          <w:rFonts w:ascii="Calibri" w:hAnsi="Calibri" w:cs="Times New Roman"/>
          <w:noProof/>
          <w:szCs w:val="24"/>
          <w:lang w:val="en-US"/>
        </w:rPr>
        <w:t xml:space="preserve"> 30(11):2061–2077.</w:t>
      </w:r>
    </w:p>
    <w:p w14:paraId="39BA368C"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t xml:space="preserve">32. </w:t>
      </w:r>
      <w:r w:rsidRPr="00844025">
        <w:rPr>
          <w:rFonts w:ascii="Calibri" w:hAnsi="Calibri" w:cs="Times New Roman"/>
          <w:noProof/>
          <w:szCs w:val="24"/>
          <w:lang w:val="en-US"/>
        </w:rPr>
        <w:tab/>
        <w:t xml:space="preserve">Tetko I V, Tanchuk VY, Kasheva TN, Villa AEP (2001) Estimation of Aqueous Solubility of Chemical Compounds Using E-State Indices. </w:t>
      </w:r>
      <w:r w:rsidRPr="00844025">
        <w:rPr>
          <w:rFonts w:ascii="Calibri" w:hAnsi="Calibri" w:cs="Times New Roman"/>
          <w:i/>
          <w:iCs/>
          <w:noProof/>
          <w:szCs w:val="24"/>
          <w:lang w:val="en-US"/>
        </w:rPr>
        <w:t>J Chem Inf Comput Sci</w:t>
      </w:r>
      <w:r w:rsidRPr="00844025">
        <w:rPr>
          <w:rFonts w:ascii="Calibri" w:hAnsi="Calibri" w:cs="Times New Roman"/>
          <w:noProof/>
          <w:szCs w:val="24"/>
          <w:lang w:val="en-US"/>
        </w:rPr>
        <w:t xml:space="preserve"> 41(6):1488–1493.</w:t>
      </w:r>
    </w:p>
    <w:p w14:paraId="37CB5DB8"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t xml:space="preserve">33. </w:t>
      </w:r>
      <w:r w:rsidRPr="00844025">
        <w:rPr>
          <w:rFonts w:ascii="Calibri" w:hAnsi="Calibri" w:cs="Times New Roman"/>
          <w:noProof/>
          <w:szCs w:val="24"/>
          <w:lang w:val="en-US"/>
        </w:rPr>
        <w:tab/>
        <w:t xml:space="preserve">Duffy EM, Jorgensen WL (2000) Prediction of Properties from Simulations:  Free Energies of Solvation in Hexadecane, Octanol, and Water. </w:t>
      </w:r>
      <w:r w:rsidRPr="00844025">
        <w:rPr>
          <w:rFonts w:ascii="Calibri" w:hAnsi="Calibri" w:cs="Times New Roman"/>
          <w:i/>
          <w:iCs/>
          <w:noProof/>
          <w:szCs w:val="24"/>
          <w:lang w:val="en-US"/>
        </w:rPr>
        <w:t>J Am Chem Soc</w:t>
      </w:r>
      <w:r w:rsidRPr="00844025">
        <w:rPr>
          <w:rFonts w:ascii="Calibri" w:hAnsi="Calibri" w:cs="Times New Roman"/>
          <w:noProof/>
          <w:szCs w:val="24"/>
          <w:lang w:val="en-US"/>
        </w:rPr>
        <w:t xml:space="preserve"> 122(12):2878–2888.</w:t>
      </w:r>
    </w:p>
    <w:p w14:paraId="0FD732EA"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t xml:space="preserve">34. </w:t>
      </w:r>
      <w:r w:rsidRPr="00844025">
        <w:rPr>
          <w:rFonts w:ascii="Calibri" w:hAnsi="Calibri" w:cs="Times New Roman"/>
          <w:noProof/>
          <w:szCs w:val="24"/>
          <w:lang w:val="en-US"/>
        </w:rPr>
        <w:tab/>
        <w:t xml:space="preserve">Hewitt M, et al. (2009) In silico prediction of aqueous solubility: The solubility challenge. </w:t>
      </w:r>
      <w:r w:rsidRPr="00844025">
        <w:rPr>
          <w:rFonts w:ascii="Calibri" w:hAnsi="Calibri" w:cs="Times New Roman"/>
          <w:i/>
          <w:iCs/>
          <w:noProof/>
          <w:szCs w:val="24"/>
          <w:lang w:val="en-US"/>
        </w:rPr>
        <w:t>J Chem Inf Model</w:t>
      </w:r>
      <w:r w:rsidRPr="00844025">
        <w:rPr>
          <w:rFonts w:ascii="Calibri" w:hAnsi="Calibri" w:cs="Times New Roman"/>
          <w:noProof/>
          <w:szCs w:val="24"/>
          <w:lang w:val="en-US"/>
        </w:rPr>
        <w:t xml:space="preserve"> 49(11):2572–2587.</w:t>
      </w:r>
    </w:p>
    <w:p w14:paraId="4DC8F108"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t xml:space="preserve">35. </w:t>
      </w:r>
      <w:r w:rsidRPr="00844025">
        <w:rPr>
          <w:rFonts w:ascii="Calibri" w:hAnsi="Calibri" w:cs="Times New Roman"/>
          <w:noProof/>
          <w:szCs w:val="24"/>
          <w:lang w:val="en-US"/>
        </w:rPr>
        <w:tab/>
        <w:t xml:space="preserve">Llinàs A, Glen RC, Goodman JM (2008) Solubility challenge: Can you predict solubilities of 32 molecules using a database of 100 reliable measurements? </w:t>
      </w:r>
      <w:r w:rsidRPr="00844025">
        <w:rPr>
          <w:rFonts w:ascii="Calibri" w:hAnsi="Calibri" w:cs="Times New Roman"/>
          <w:i/>
          <w:iCs/>
          <w:noProof/>
          <w:szCs w:val="24"/>
          <w:lang w:val="en-US"/>
        </w:rPr>
        <w:t>J Chem Inf Model</w:t>
      </w:r>
      <w:r w:rsidRPr="00844025">
        <w:rPr>
          <w:rFonts w:ascii="Calibri" w:hAnsi="Calibri" w:cs="Times New Roman"/>
          <w:noProof/>
          <w:szCs w:val="24"/>
          <w:lang w:val="en-US"/>
        </w:rPr>
        <w:t xml:space="preserve"> 48(7):1289–1303.</w:t>
      </w:r>
    </w:p>
    <w:p w14:paraId="30D39853"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t xml:space="preserve">36. </w:t>
      </w:r>
      <w:r w:rsidRPr="00844025">
        <w:rPr>
          <w:rFonts w:ascii="Calibri" w:hAnsi="Calibri" w:cs="Times New Roman"/>
          <w:noProof/>
          <w:szCs w:val="24"/>
          <w:lang w:val="en-US"/>
        </w:rPr>
        <w:tab/>
        <w:t xml:space="preserve">Hopfinger AJ, Esposito EX, Llinàs A, Glen RC, Goodman  and JM (2009) Findings of the Challenge To Predict Aqueous Solubility Anton. </w:t>
      </w:r>
      <w:r w:rsidRPr="00844025">
        <w:rPr>
          <w:rFonts w:ascii="Calibri" w:hAnsi="Calibri" w:cs="Times New Roman"/>
          <w:i/>
          <w:iCs/>
          <w:noProof/>
          <w:szCs w:val="24"/>
          <w:lang w:val="en-US"/>
        </w:rPr>
        <w:t>J Chem Inf Model</w:t>
      </w:r>
      <w:r w:rsidRPr="00844025">
        <w:rPr>
          <w:rFonts w:ascii="Calibri" w:hAnsi="Calibri" w:cs="Times New Roman"/>
          <w:noProof/>
          <w:szCs w:val="24"/>
          <w:lang w:val="en-US"/>
        </w:rPr>
        <w:t xml:space="preserve"> 49:1–5.</w:t>
      </w:r>
    </w:p>
    <w:p w14:paraId="40876884"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t xml:space="preserve">37. </w:t>
      </w:r>
      <w:r w:rsidRPr="00844025">
        <w:rPr>
          <w:rFonts w:ascii="Calibri" w:hAnsi="Calibri" w:cs="Times New Roman"/>
          <w:noProof/>
          <w:szCs w:val="24"/>
          <w:lang w:val="en-US"/>
        </w:rPr>
        <w:tab/>
        <w:t xml:space="preserve">Lipinski CA, Lombardo F, Dominy BW, Feeney PJ (2001) Experimental and computational approaches to estimate solubility and permeability in drug discovery and development. </w:t>
      </w:r>
      <w:r w:rsidRPr="00844025">
        <w:rPr>
          <w:rFonts w:ascii="Calibri" w:hAnsi="Calibri" w:cs="Times New Roman"/>
          <w:i/>
          <w:iCs/>
          <w:noProof/>
          <w:szCs w:val="24"/>
          <w:lang w:val="en-US"/>
        </w:rPr>
        <w:t>Adv Drug Deliv Rev</w:t>
      </w:r>
      <w:r w:rsidRPr="00844025">
        <w:rPr>
          <w:rFonts w:ascii="Calibri" w:hAnsi="Calibri" w:cs="Times New Roman"/>
          <w:noProof/>
          <w:szCs w:val="24"/>
          <w:lang w:val="en-US"/>
        </w:rPr>
        <w:t xml:space="preserve"> 46:3–26.</w:t>
      </w:r>
    </w:p>
    <w:p w14:paraId="25C16AEB"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t xml:space="preserve">38. </w:t>
      </w:r>
      <w:r w:rsidRPr="00844025">
        <w:rPr>
          <w:rFonts w:ascii="Calibri" w:hAnsi="Calibri" w:cs="Times New Roman"/>
          <w:noProof/>
          <w:szCs w:val="24"/>
          <w:lang w:val="en-US"/>
        </w:rPr>
        <w:tab/>
        <w:t xml:space="preserve">Sterling T, Irwin JJ (2015) ZINC 15 - Ligand Discovery for Everyone. </w:t>
      </w:r>
      <w:r w:rsidRPr="00844025">
        <w:rPr>
          <w:rFonts w:ascii="Calibri" w:hAnsi="Calibri" w:cs="Times New Roman"/>
          <w:i/>
          <w:iCs/>
          <w:noProof/>
          <w:szCs w:val="24"/>
          <w:lang w:val="en-US"/>
        </w:rPr>
        <w:t>J Chem Inf Model</w:t>
      </w:r>
      <w:r w:rsidRPr="00844025">
        <w:rPr>
          <w:rFonts w:ascii="Calibri" w:hAnsi="Calibri" w:cs="Times New Roman"/>
          <w:noProof/>
          <w:szCs w:val="24"/>
          <w:lang w:val="en-US"/>
        </w:rPr>
        <w:t xml:space="preserve"> 55(11):2324–2337.</w:t>
      </w:r>
    </w:p>
    <w:p w14:paraId="082F807B"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t xml:space="preserve">39. </w:t>
      </w:r>
      <w:r w:rsidRPr="00844025">
        <w:rPr>
          <w:rFonts w:ascii="Calibri" w:hAnsi="Calibri" w:cs="Times New Roman"/>
          <w:noProof/>
          <w:szCs w:val="24"/>
          <w:lang w:val="en-US"/>
        </w:rPr>
        <w:tab/>
        <w:t xml:space="preserve">Irwin JJ, Shoichet BK (2005) ZINC – A Free Database of Commercially Available Compounds for Virtual Screening. </w:t>
      </w:r>
      <w:r w:rsidRPr="00844025">
        <w:rPr>
          <w:rFonts w:ascii="Calibri" w:hAnsi="Calibri" w:cs="Times New Roman"/>
          <w:i/>
          <w:iCs/>
          <w:noProof/>
          <w:szCs w:val="24"/>
          <w:lang w:val="en-US"/>
        </w:rPr>
        <w:t>J Chem Inf Model</w:t>
      </w:r>
      <w:r w:rsidRPr="00844025">
        <w:rPr>
          <w:rFonts w:ascii="Calibri" w:hAnsi="Calibri" w:cs="Times New Roman"/>
          <w:noProof/>
          <w:szCs w:val="24"/>
          <w:lang w:val="en-US"/>
        </w:rPr>
        <w:t xml:space="preserve"> 45(1):177–182.</w:t>
      </w:r>
    </w:p>
    <w:p w14:paraId="2160B09F"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t xml:space="preserve">40. </w:t>
      </w:r>
      <w:r w:rsidRPr="00844025">
        <w:rPr>
          <w:rFonts w:ascii="Calibri" w:hAnsi="Calibri" w:cs="Times New Roman"/>
          <w:noProof/>
          <w:szCs w:val="24"/>
          <w:lang w:val="en-US"/>
        </w:rPr>
        <w:tab/>
        <w:t xml:space="preserve">Vanhooren A, Devreese B, Vanhee K, Van Beeumen J, Hanssens I (2002) Photoexcitation of tryptophan groups induces reduction of two disulfide bonds in goat </w:t>
      </w:r>
      <w:r w:rsidRPr="00E77D77">
        <w:rPr>
          <w:rFonts w:ascii="Calibri" w:hAnsi="Calibri" w:cs="Times New Roman"/>
          <w:noProof/>
          <w:szCs w:val="24"/>
        </w:rPr>
        <w:t>α</w:t>
      </w:r>
      <w:r w:rsidRPr="00844025">
        <w:rPr>
          <w:rFonts w:ascii="Calibri" w:hAnsi="Calibri" w:cs="Times New Roman"/>
          <w:noProof/>
          <w:szCs w:val="24"/>
          <w:lang w:val="en-US"/>
        </w:rPr>
        <w:t xml:space="preserve">-lactalbumin. </w:t>
      </w:r>
      <w:r w:rsidRPr="00844025">
        <w:rPr>
          <w:rFonts w:ascii="Calibri" w:hAnsi="Calibri" w:cs="Times New Roman"/>
          <w:i/>
          <w:iCs/>
          <w:noProof/>
          <w:szCs w:val="24"/>
          <w:lang w:val="en-US"/>
        </w:rPr>
        <w:t>Biochemistry</w:t>
      </w:r>
      <w:r w:rsidRPr="00844025">
        <w:rPr>
          <w:rFonts w:ascii="Calibri" w:hAnsi="Calibri" w:cs="Times New Roman"/>
          <w:noProof/>
          <w:szCs w:val="24"/>
          <w:lang w:val="en-US"/>
        </w:rPr>
        <w:t xml:space="preserve"> 41(36):11035–11043.</w:t>
      </w:r>
    </w:p>
    <w:p w14:paraId="1564979C"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lastRenderedPageBreak/>
        <w:t xml:space="preserve">41. </w:t>
      </w:r>
      <w:r w:rsidRPr="00844025">
        <w:rPr>
          <w:rFonts w:ascii="Calibri" w:hAnsi="Calibri" w:cs="Times New Roman"/>
          <w:noProof/>
          <w:szCs w:val="24"/>
          <w:lang w:val="en-US"/>
        </w:rPr>
        <w:tab/>
        <w:t xml:space="preserve">Brange J, Havelund S, Hougaard P (1992) Chemical Stability of Insulin. 2. Formation of Higher Molecular Weight Transformation Products During Storage of Pharmaceutical Preparations. </w:t>
      </w:r>
      <w:r w:rsidRPr="00844025">
        <w:rPr>
          <w:rFonts w:ascii="Calibri" w:hAnsi="Calibri" w:cs="Times New Roman"/>
          <w:i/>
          <w:iCs/>
          <w:noProof/>
          <w:szCs w:val="24"/>
          <w:lang w:val="en-US"/>
        </w:rPr>
        <w:t>Pharm Res</w:t>
      </w:r>
      <w:r w:rsidRPr="00844025">
        <w:rPr>
          <w:rFonts w:ascii="Calibri" w:hAnsi="Calibri" w:cs="Times New Roman"/>
          <w:noProof/>
          <w:szCs w:val="24"/>
          <w:lang w:val="en-US"/>
        </w:rPr>
        <w:t xml:space="preserve"> 9(6):727–734.</w:t>
      </w:r>
    </w:p>
    <w:p w14:paraId="4F18F8F6"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t xml:space="preserve">42. </w:t>
      </w:r>
      <w:r w:rsidRPr="00844025">
        <w:rPr>
          <w:rFonts w:ascii="Calibri" w:hAnsi="Calibri" w:cs="Times New Roman"/>
          <w:noProof/>
          <w:szCs w:val="24"/>
          <w:lang w:val="en-US"/>
        </w:rPr>
        <w:tab/>
        <w:t xml:space="preserve">Nuhu MM, Curtis R (2015) Arginine dipeptides affect insulin aggregation in a pH- and ionic strength-dependent manner. </w:t>
      </w:r>
      <w:r w:rsidRPr="00844025">
        <w:rPr>
          <w:rFonts w:ascii="Calibri" w:hAnsi="Calibri" w:cs="Times New Roman"/>
          <w:i/>
          <w:iCs/>
          <w:noProof/>
          <w:szCs w:val="24"/>
          <w:lang w:val="en-US"/>
        </w:rPr>
        <w:t>Biotechnol J</w:t>
      </w:r>
      <w:r w:rsidRPr="00844025">
        <w:rPr>
          <w:rFonts w:ascii="Calibri" w:hAnsi="Calibri" w:cs="Times New Roman"/>
          <w:noProof/>
          <w:szCs w:val="24"/>
          <w:lang w:val="en-US"/>
        </w:rPr>
        <w:t xml:space="preserve"> 10(3):404–416.</w:t>
      </w:r>
    </w:p>
    <w:p w14:paraId="0C13E58A"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t xml:space="preserve">43. </w:t>
      </w:r>
      <w:r w:rsidRPr="00844025">
        <w:rPr>
          <w:rFonts w:ascii="Calibri" w:hAnsi="Calibri" w:cs="Times New Roman"/>
          <w:noProof/>
          <w:szCs w:val="24"/>
          <w:lang w:val="en-US"/>
        </w:rPr>
        <w:tab/>
        <w:t xml:space="preserve">Gilson MK, et al. (2016) BindingDB in 2015: A public database for medicinal chemistry, computational chemistry and systems pharmacology. </w:t>
      </w:r>
      <w:r w:rsidRPr="00844025">
        <w:rPr>
          <w:rFonts w:ascii="Calibri" w:hAnsi="Calibri" w:cs="Times New Roman"/>
          <w:i/>
          <w:iCs/>
          <w:noProof/>
          <w:szCs w:val="24"/>
          <w:lang w:val="en-US"/>
        </w:rPr>
        <w:t>Nucleic Acids Res</w:t>
      </w:r>
      <w:r w:rsidRPr="00844025">
        <w:rPr>
          <w:rFonts w:ascii="Calibri" w:hAnsi="Calibri" w:cs="Times New Roman"/>
          <w:noProof/>
          <w:szCs w:val="24"/>
          <w:lang w:val="en-US"/>
        </w:rPr>
        <w:t xml:space="preserve"> 44(D1):D1045–D1053.</w:t>
      </w:r>
    </w:p>
    <w:p w14:paraId="72598F62"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t xml:space="preserve">44. </w:t>
      </w:r>
      <w:r w:rsidRPr="00844025">
        <w:rPr>
          <w:rFonts w:ascii="Calibri" w:hAnsi="Calibri" w:cs="Times New Roman"/>
          <w:noProof/>
          <w:szCs w:val="24"/>
          <w:lang w:val="en-US"/>
        </w:rPr>
        <w:tab/>
        <w:t xml:space="preserve">Svilenov H, Markoja U, Winter G (2018) Isothermal chemical denaturation as a complementary tool to overcome limitations of thermal differential scanning fluorimetry in predicting physical stability of protein formulations. </w:t>
      </w:r>
      <w:r w:rsidRPr="00844025">
        <w:rPr>
          <w:rFonts w:ascii="Calibri" w:hAnsi="Calibri" w:cs="Times New Roman"/>
          <w:i/>
          <w:iCs/>
          <w:noProof/>
          <w:szCs w:val="24"/>
          <w:lang w:val="en-US"/>
        </w:rPr>
        <w:t>Eur J Pharm Biopharm</w:t>
      </w:r>
      <w:r w:rsidRPr="00844025">
        <w:rPr>
          <w:rFonts w:ascii="Calibri" w:hAnsi="Calibri" w:cs="Times New Roman"/>
          <w:noProof/>
          <w:szCs w:val="24"/>
          <w:lang w:val="en-US"/>
        </w:rPr>
        <w:t xml:space="preserve"> 125:106–113.</w:t>
      </w:r>
    </w:p>
    <w:p w14:paraId="70DEA1E7"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t xml:space="preserve">45. </w:t>
      </w:r>
      <w:r w:rsidRPr="00844025">
        <w:rPr>
          <w:rFonts w:ascii="Calibri" w:hAnsi="Calibri" w:cs="Times New Roman"/>
          <w:noProof/>
          <w:szCs w:val="24"/>
          <w:lang w:val="en-US"/>
        </w:rPr>
        <w:tab/>
        <w:t xml:space="preserve">Andrej Šali (1993) MODELLER A Program for Protein Structure Modeling. </w:t>
      </w:r>
      <w:r w:rsidRPr="00844025">
        <w:rPr>
          <w:rFonts w:ascii="Calibri" w:hAnsi="Calibri" w:cs="Times New Roman"/>
          <w:i/>
          <w:iCs/>
          <w:noProof/>
          <w:szCs w:val="24"/>
          <w:lang w:val="en-US"/>
        </w:rPr>
        <w:t>Comp protein Model by Satisf Spat restraints</w:t>
      </w:r>
      <w:r w:rsidRPr="00844025">
        <w:rPr>
          <w:rFonts w:ascii="Calibri" w:hAnsi="Calibri" w:cs="Times New Roman"/>
          <w:noProof/>
          <w:szCs w:val="24"/>
          <w:lang w:val="en-US"/>
        </w:rPr>
        <w:t>:779–815.</w:t>
      </w:r>
    </w:p>
    <w:p w14:paraId="27F60C23"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t xml:space="preserve">46. </w:t>
      </w:r>
      <w:r w:rsidRPr="00844025">
        <w:rPr>
          <w:rFonts w:ascii="Calibri" w:hAnsi="Calibri" w:cs="Times New Roman"/>
          <w:noProof/>
          <w:szCs w:val="24"/>
          <w:lang w:val="en-US"/>
        </w:rPr>
        <w:tab/>
        <w:t xml:space="preserve">Mahler H-C, et al. (2010) Adsorption Behavior of a Surfactant and a Monoclonal Antibody to Sterilizing-Grade Filters. </w:t>
      </w:r>
      <w:r w:rsidRPr="00844025">
        <w:rPr>
          <w:rFonts w:ascii="Calibri" w:hAnsi="Calibri" w:cs="Times New Roman"/>
          <w:i/>
          <w:iCs/>
          <w:noProof/>
          <w:szCs w:val="24"/>
          <w:lang w:val="en-US"/>
        </w:rPr>
        <w:t>J Pharm Sci</w:t>
      </w:r>
      <w:r w:rsidRPr="00844025">
        <w:rPr>
          <w:rFonts w:ascii="Calibri" w:hAnsi="Calibri" w:cs="Times New Roman"/>
          <w:noProof/>
          <w:szCs w:val="24"/>
          <w:lang w:val="en-US"/>
        </w:rPr>
        <w:t xml:space="preserve"> 99(6):2620–2627.</w:t>
      </w:r>
    </w:p>
    <w:p w14:paraId="253C5FE0"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t xml:space="preserve">47. </w:t>
      </w:r>
      <w:r w:rsidRPr="00844025">
        <w:rPr>
          <w:rFonts w:ascii="Calibri" w:hAnsi="Calibri" w:cs="Times New Roman"/>
          <w:noProof/>
          <w:szCs w:val="24"/>
          <w:lang w:val="en-US"/>
        </w:rPr>
        <w:tab/>
        <w:t xml:space="preserve">Jerabek-Willemsen M, Wienken CJ, Braun D, Baaske P, Duhr S (2011) Molecular Interaction Studies Using Microscale Thermophoresis. </w:t>
      </w:r>
      <w:r w:rsidRPr="00844025">
        <w:rPr>
          <w:rFonts w:ascii="Calibri" w:hAnsi="Calibri" w:cs="Times New Roman"/>
          <w:i/>
          <w:iCs/>
          <w:noProof/>
          <w:szCs w:val="24"/>
          <w:lang w:val="en-US"/>
        </w:rPr>
        <w:t>Assay Drug Dev Technol</w:t>
      </w:r>
      <w:r w:rsidRPr="00844025">
        <w:rPr>
          <w:rFonts w:ascii="Calibri" w:hAnsi="Calibri" w:cs="Times New Roman"/>
          <w:noProof/>
          <w:szCs w:val="24"/>
          <w:lang w:val="en-US"/>
        </w:rPr>
        <w:t xml:space="preserve"> 9(4):342–353.</w:t>
      </w:r>
    </w:p>
    <w:p w14:paraId="1836E0F4"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t xml:space="preserve">48. </w:t>
      </w:r>
      <w:r w:rsidRPr="00844025">
        <w:rPr>
          <w:rFonts w:ascii="Calibri" w:hAnsi="Calibri" w:cs="Times New Roman"/>
          <w:noProof/>
          <w:szCs w:val="24"/>
          <w:lang w:val="en-US"/>
        </w:rPr>
        <w:tab/>
        <w:t xml:space="preserve">Salmon-Ferrer R, Goetz AW, Poole D, Le Grand S, Walker RC (2013) Routine microsecond molecular dynamics simulations with AMBER - Part II: Particle Mesh Ewald. </w:t>
      </w:r>
      <w:r w:rsidRPr="00844025">
        <w:rPr>
          <w:rFonts w:ascii="Calibri" w:hAnsi="Calibri" w:cs="Times New Roman"/>
          <w:i/>
          <w:iCs/>
          <w:noProof/>
          <w:szCs w:val="24"/>
          <w:lang w:val="en-US"/>
        </w:rPr>
        <w:t>J Chem Theory Comput</w:t>
      </w:r>
      <w:r w:rsidRPr="00844025">
        <w:rPr>
          <w:rFonts w:ascii="Calibri" w:hAnsi="Calibri" w:cs="Times New Roman"/>
          <w:noProof/>
          <w:szCs w:val="24"/>
          <w:lang w:val="en-US"/>
        </w:rPr>
        <w:t xml:space="preserve"> 9(9):3878–3888.</w:t>
      </w:r>
    </w:p>
    <w:p w14:paraId="0C60BC8C"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t xml:space="preserve">49. </w:t>
      </w:r>
      <w:r w:rsidRPr="00844025">
        <w:rPr>
          <w:rFonts w:ascii="Calibri" w:hAnsi="Calibri" w:cs="Times New Roman"/>
          <w:noProof/>
          <w:szCs w:val="24"/>
          <w:lang w:val="en-US"/>
        </w:rPr>
        <w:tab/>
        <w:t xml:space="preserve">Jorgensen WL, Chandrasekhar J, Madura JD, Impey RW, Klein ML (1983) Comparison of simple potential functions for simulating liquid water William. </w:t>
      </w:r>
      <w:r w:rsidRPr="00844025">
        <w:rPr>
          <w:rFonts w:ascii="Calibri" w:hAnsi="Calibri" w:cs="Times New Roman"/>
          <w:i/>
          <w:iCs/>
          <w:noProof/>
          <w:szCs w:val="24"/>
          <w:lang w:val="en-US"/>
        </w:rPr>
        <w:t>J Chem Phys</w:t>
      </w:r>
      <w:r w:rsidRPr="00844025">
        <w:rPr>
          <w:rFonts w:ascii="Calibri" w:hAnsi="Calibri" w:cs="Times New Roman"/>
          <w:noProof/>
          <w:szCs w:val="24"/>
          <w:lang w:val="en-US"/>
        </w:rPr>
        <w:t xml:space="preserve"> 79(2):926–935.</w:t>
      </w:r>
    </w:p>
    <w:p w14:paraId="762DFA68"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t xml:space="preserve">50. </w:t>
      </w:r>
      <w:r w:rsidRPr="00844025">
        <w:rPr>
          <w:rFonts w:ascii="Calibri" w:hAnsi="Calibri" w:cs="Times New Roman"/>
          <w:noProof/>
          <w:szCs w:val="24"/>
          <w:lang w:val="en-US"/>
        </w:rPr>
        <w:tab/>
        <w:t xml:space="preserve">Ryckaert J-P, Ciccotti G, Berendsen HJ. (1977) Numerical integration of the cartesian equations of motion of a system with constraints: molecular dynamics of n-alkanes. </w:t>
      </w:r>
      <w:r w:rsidRPr="00844025">
        <w:rPr>
          <w:rFonts w:ascii="Calibri" w:hAnsi="Calibri" w:cs="Times New Roman"/>
          <w:i/>
          <w:iCs/>
          <w:noProof/>
          <w:szCs w:val="24"/>
          <w:lang w:val="en-US"/>
        </w:rPr>
        <w:t>J Comput Phys</w:t>
      </w:r>
      <w:r w:rsidRPr="00844025">
        <w:rPr>
          <w:rFonts w:ascii="Calibri" w:hAnsi="Calibri" w:cs="Times New Roman"/>
          <w:noProof/>
          <w:szCs w:val="24"/>
          <w:lang w:val="en-US"/>
        </w:rPr>
        <w:t xml:space="preserve"> 23(3):327–341.</w:t>
      </w:r>
    </w:p>
    <w:p w14:paraId="5CEC66C9" w14:textId="77777777" w:rsidR="00E77D77" w:rsidRPr="00844025" w:rsidRDefault="00E77D77" w:rsidP="00E77D77">
      <w:pPr>
        <w:widowControl w:val="0"/>
        <w:autoSpaceDE w:val="0"/>
        <w:autoSpaceDN w:val="0"/>
        <w:adjustRightInd w:val="0"/>
        <w:spacing w:line="480" w:lineRule="auto"/>
        <w:ind w:left="640" w:hanging="640"/>
        <w:rPr>
          <w:rFonts w:ascii="Calibri" w:hAnsi="Calibri" w:cs="Times New Roman"/>
          <w:noProof/>
          <w:szCs w:val="24"/>
          <w:lang w:val="en-US"/>
        </w:rPr>
      </w:pPr>
      <w:r w:rsidRPr="00844025">
        <w:rPr>
          <w:rFonts w:ascii="Calibri" w:hAnsi="Calibri" w:cs="Times New Roman"/>
          <w:noProof/>
          <w:szCs w:val="24"/>
          <w:lang w:val="en-US"/>
        </w:rPr>
        <w:lastRenderedPageBreak/>
        <w:t xml:space="preserve">51. </w:t>
      </w:r>
      <w:r w:rsidRPr="00844025">
        <w:rPr>
          <w:rFonts w:ascii="Calibri" w:hAnsi="Calibri" w:cs="Times New Roman"/>
          <w:noProof/>
          <w:szCs w:val="24"/>
          <w:lang w:val="en-US"/>
        </w:rPr>
        <w:tab/>
        <w:t xml:space="preserve">Feenstra KA, Hess B, Berendsen HJC (1999) Improving efficiency of large time-scale molecular dynamics simulations of hydrogen-rich systems. </w:t>
      </w:r>
      <w:r w:rsidRPr="00844025">
        <w:rPr>
          <w:rFonts w:ascii="Calibri" w:hAnsi="Calibri" w:cs="Times New Roman"/>
          <w:i/>
          <w:iCs/>
          <w:noProof/>
          <w:szCs w:val="24"/>
          <w:lang w:val="en-US"/>
        </w:rPr>
        <w:t>J Comput Chem</w:t>
      </w:r>
      <w:r w:rsidRPr="00844025">
        <w:rPr>
          <w:rFonts w:ascii="Calibri" w:hAnsi="Calibri" w:cs="Times New Roman"/>
          <w:noProof/>
          <w:szCs w:val="24"/>
          <w:lang w:val="en-US"/>
        </w:rPr>
        <w:t xml:space="preserve"> 20(8):786–798.</w:t>
      </w:r>
    </w:p>
    <w:p w14:paraId="7430025C" w14:textId="77777777" w:rsidR="00E77D77" w:rsidRPr="00E77D77" w:rsidRDefault="00E77D77" w:rsidP="00E77D77">
      <w:pPr>
        <w:widowControl w:val="0"/>
        <w:autoSpaceDE w:val="0"/>
        <w:autoSpaceDN w:val="0"/>
        <w:adjustRightInd w:val="0"/>
        <w:spacing w:line="480" w:lineRule="auto"/>
        <w:ind w:left="640" w:hanging="640"/>
        <w:rPr>
          <w:rFonts w:ascii="Calibri" w:hAnsi="Calibri"/>
          <w:noProof/>
        </w:rPr>
      </w:pPr>
      <w:r w:rsidRPr="00844025">
        <w:rPr>
          <w:rFonts w:ascii="Calibri" w:hAnsi="Calibri" w:cs="Times New Roman"/>
          <w:noProof/>
          <w:szCs w:val="24"/>
          <w:lang w:val="en-US"/>
        </w:rPr>
        <w:t xml:space="preserve">52. </w:t>
      </w:r>
      <w:r w:rsidRPr="00844025">
        <w:rPr>
          <w:rFonts w:ascii="Calibri" w:hAnsi="Calibri" w:cs="Times New Roman"/>
          <w:noProof/>
          <w:szCs w:val="24"/>
          <w:lang w:val="en-US"/>
        </w:rPr>
        <w:tab/>
        <w:t xml:space="preserve">Vedani A, Dobler M, Hu Z, Smieško M (2015) OpenVirtualToxLab—A platform for generating and exchanging in silico toxicity data. </w:t>
      </w:r>
      <w:r w:rsidRPr="00E77D77">
        <w:rPr>
          <w:rFonts w:ascii="Calibri" w:hAnsi="Calibri" w:cs="Times New Roman"/>
          <w:i/>
          <w:iCs/>
          <w:noProof/>
          <w:szCs w:val="24"/>
        </w:rPr>
        <w:t>Toxicol Lett</w:t>
      </w:r>
      <w:r w:rsidRPr="00E77D77">
        <w:rPr>
          <w:rFonts w:ascii="Calibri" w:hAnsi="Calibri" w:cs="Times New Roman"/>
          <w:noProof/>
          <w:szCs w:val="24"/>
        </w:rPr>
        <w:t xml:space="preserve"> 232(2):519–532.</w:t>
      </w:r>
    </w:p>
    <w:p w14:paraId="18A57985" w14:textId="77777777" w:rsidR="00F13BDE" w:rsidRDefault="005F0550" w:rsidP="00A129E5">
      <w:pPr>
        <w:spacing w:line="480" w:lineRule="auto"/>
        <w:rPr>
          <w:b/>
          <w:lang w:val="en-US"/>
        </w:rPr>
        <w:sectPr w:rsidR="00F13BDE" w:rsidSect="00AE2F57">
          <w:pgSz w:w="11906" w:h="16838"/>
          <w:pgMar w:top="1417" w:right="1417" w:bottom="1134" w:left="1417" w:header="708" w:footer="708" w:gutter="0"/>
          <w:cols w:space="708"/>
          <w:docGrid w:linePitch="360"/>
        </w:sectPr>
      </w:pPr>
      <w:r>
        <w:rPr>
          <w:b/>
          <w:lang w:val="en-US"/>
        </w:rPr>
        <w:fldChar w:fldCharType="end"/>
      </w:r>
    </w:p>
    <w:p w14:paraId="57904BFE" w14:textId="0081D6CE" w:rsidR="00AE2F57" w:rsidRDefault="00AE2F57" w:rsidP="00A129E5">
      <w:pPr>
        <w:spacing w:line="480" w:lineRule="auto"/>
        <w:rPr>
          <w:b/>
          <w:lang w:val="en-US"/>
        </w:rPr>
      </w:pPr>
      <w:r>
        <w:rPr>
          <w:b/>
          <w:lang w:val="en-US"/>
        </w:rPr>
        <w:lastRenderedPageBreak/>
        <w:t>Tables</w:t>
      </w:r>
    </w:p>
    <w:p w14:paraId="76735DD6" w14:textId="77777777" w:rsidR="00F13BDE" w:rsidRDefault="00F13BDE" w:rsidP="00F13BDE">
      <w:pPr>
        <w:spacing w:line="480" w:lineRule="auto"/>
        <w:rPr>
          <w:b/>
          <w:lang w:val="en-US"/>
        </w:rPr>
      </w:pPr>
      <w:r w:rsidRPr="00F2411B">
        <w:rPr>
          <w:b/>
          <w:lang w:val="en-US"/>
        </w:rPr>
        <w:t>Abbreviations</w:t>
      </w:r>
    </w:p>
    <w:tbl>
      <w:tblPr>
        <w:tblStyle w:val="TableGrid"/>
        <w:tblW w:w="0" w:type="auto"/>
        <w:tblLook w:val="04A0" w:firstRow="1" w:lastRow="0" w:firstColumn="1" w:lastColumn="0" w:noHBand="0" w:noVBand="1"/>
      </w:tblPr>
      <w:tblGrid>
        <w:gridCol w:w="2245"/>
        <w:gridCol w:w="6817"/>
      </w:tblGrid>
      <w:tr w:rsidR="00F13BDE" w:rsidRPr="00543C15" w14:paraId="535FF26B" w14:textId="77777777" w:rsidTr="00057203">
        <w:tc>
          <w:tcPr>
            <w:tcW w:w="2245" w:type="dxa"/>
          </w:tcPr>
          <w:p w14:paraId="42E3D6F9" w14:textId="77777777" w:rsidR="00F13BDE" w:rsidRPr="00F2411B" w:rsidRDefault="00F13BDE" w:rsidP="00057203">
            <w:pPr>
              <w:spacing w:line="480" w:lineRule="auto"/>
              <w:rPr>
                <w:lang w:val="en-US"/>
              </w:rPr>
            </w:pPr>
            <w:r>
              <w:rPr>
                <w:lang w:val="en-US"/>
              </w:rPr>
              <w:t>A3D</w:t>
            </w:r>
          </w:p>
        </w:tc>
        <w:tc>
          <w:tcPr>
            <w:tcW w:w="6817" w:type="dxa"/>
          </w:tcPr>
          <w:p w14:paraId="39BAEE97" w14:textId="77777777" w:rsidR="00F13BDE" w:rsidRPr="00F2411B" w:rsidRDefault="00F13BDE" w:rsidP="00057203">
            <w:pPr>
              <w:spacing w:line="480" w:lineRule="auto"/>
              <w:rPr>
                <w:lang w:val="en-US"/>
              </w:rPr>
            </w:pPr>
            <w:r>
              <w:rPr>
                <w:lang w:val="en-US"/>
              </w:rPr>
              <w:t>Aggrescan3D</w:t>
            </w:r>
          </w:p>
        </w:tc>
      </w:tr>
      <w:tr w:rsidR="00F13BDE" w14:paraId="71A933BD" w14:textId="77777777" w:rsidTr="00057203">
        <w:tc>
          <w:tcPr>
            <w:tcW w:w="2245" w:type="dxa"/>
          </w:tcPr>
          <w:p w14:paraId="22E3CB5D" w14:textId="77777777" w:rsidR="00F13BDE" w:rsidRPr="00F2411B" w:rsidRDefault="00F13BDE" w:rsidP="00057203">
            <w:pPr>
              <w:spacing w:line="480" w:lineRule="auto"/>
              <w:rPr>
                <w:lang w:val="en-US"/>
              </w:rPr>
            </w:pPr>
            <w:r>
              <w:rPr>
                <w:lang w:val="en-US"/>
              </w:rPr>
              <w:t>APR</w:t>
            </w:r>
          </w:p>
        </w:tc>
        <w:tc>
          <w:tcPr>
            <w:tcW w:w="6817" w:type="dxa"/>
          </w:tcPr>
          <w:p w14:paraId="17FD761F" w14:textId="77777777" w:rsidR="00F13BDE" w:rsidRPr="00F2411B" w:rsidRDefault="00F13BDE" w:rsidP="00057203">
            <w:pPr>
              <w:spacing w:line="480" w:lineRule="auto"/>
              <w:rPr>
                <w:lang w:val="en-US"/>
              </w:rPr>
            </w:pPr>
            <w:r>
              <w:rPr>
                <w:lang w:val="en-US"/>
              </w:rPr>
              <w:t>Attach-Pull-Release</w:t>
            </w:r>
          </w:p>
        </w:tc>
      </w:tr>
      <w:tr w:rsidR="00F13BDE" w:rsidRPr="00DF73C4" w14:paraId="371F2CED" w14:textId="77777777" w:rsidTr="00057203">
        <w:tc>
          <w:tcPr>
            <w:tcW w:w="2245" w:type="dxa"/>
          </w:tcPr>
          <w:p w14:paraId="0332C782" w14:textId="77777777" w:rsidR="00F13BDE" w:rsidRDefault="00F13BDE" w:rsidP="00057203">
            <w:pPr>
              <w:spacing w:line="480" w:lineRule="auto"/>
              <w:rPr>
                <w:lang w:val="en-US"/>
              </w:rPr>
            </w:pPr>
            <w:r>
              <w:rPr>
                <w:lang w:val="en-US"/>
              </w:rPr>
              <w:t>CUDA</w:t>
            </w:r>
          </w:p>
        </w:tc>
        <w:tc>
          <w:tcPr>
            <w:tcW w:w="6817" w:type="dxa"/>
          </w:tcPr>
          <w:p w14:paraId="4E1C84CB" w14:textId="77777777" w:rsidR="00F13BDE" w:rsidRDefault="00F13BDE" w:rsidP="00057203">
            <w:pPr>
              <w:spacing w:line="480" w:lineRule="auto"/>
              <w:rPr>
                <w:lang w:val="en-US"/>
              </w:rPr>
            </w:pPr>
            <w:r>
              <w:rPr>
                <w:lang w:val="en-US"/>
              </w:rPr>
              <w:t>Compute Unified Device Architecture</w:t>
            </w:r>
          </w:p>
        </w:tc>
      </w:tr>
      <w:tr w:rsidR="00F13BDE" w14:paraId="5E7895B2" w14:textId="77777777" w:rsidTr="00057203">
        <w:tc>
          <w:tcPr>
            <w:tcW w:w="2245" w:type="dxa"/>
          </w:tcPr>
          <w:p w14:paraId="420B4E06" w14:textId="77777777" w:rsidR="00F13BDE" w:rsidRDefault="00F13BDE" w:rsidP="00057203">
            <w:pPr>
              <w:spacing w:line="480" w:lineRule="auto"/>
              <w:rPr>
                <w:lang w:val="en-US"/>
              </w:rPr>
            </w:pPr>
            <w:r>
              <w:rPr>
                <w:lang w:val="en-US"/>
              </w:rPr>
              <w:t>DMP</w:t>
            </w:r>
          </w:p>
        </w:tc>
        <w:tc>
          <w:tcPr>
            <w:tcW w:w="6817" w:type="dxa"/>
          </w:tcPr>
          <w:p w14:paraId="46BD126C" w14:textId="77777777" w:rsidR="00F13BDE" w:rsidRDefault="00F13BDE" w:rsidP="00057203">
            <w:pPr>
              <w:spacing w:line="480" w:lineRule="auto"/>
              <w:rPr>
                <w:lang w:val="en-US"/>
              </w:rPr>
            </w:pPr>
            <w:r>
              <w:rPr>
                <w:lang w:val="en-US"/>
              </w:rPr>
              <w:t>Dexamethasone phosphate</w:t>
            </w:r>
          </w:p>
        </w:tc>
      </w:tr>
      <w:tr w:rsidR="00F13BDE" w:rsidRPr="00617127" w14:paraId="7186EA11" w14:textId="77777777" w:rsidTr="00057203">
        <w:tc>
          <w:tcPr>
            <w:tcW w:w="2245" w:type="dxa"/>
          </w:tcPr>
          <w:p w14:paraId="5313AD0C" w14:textId="77777777" w:rsidR="00F13BDE" w:rsidRDefault="00F13BDE" w:rsidP="00057203">
            <w:pPr>
              <w:spacing w:line="480" w:lineRule="auto"/>
              <w:rPr>
                <w:lang w:val="en-US"/>
              </w:rPr>
            </w:pPr>
            <w:r>
              <w:rPr>
                <w:lang w:val="en-US"/>
              </w:rPr>
              <w:t>ff14SB</w:t>
            </w:r>
          </w:p>
        </w:tc>
        <w:tc>
          <w:tcPr>
            <w:tcW w:w="6817" w:type="dxa"/>
          </w:tcPr>
          <w:p w14:paraId="34E287F7" w14:textId="77777777" w:rsidR="00F13BDE" w:rsidRDefault="00F13BDE" w:rsidP="00057203">
            <w:pPr>
              <w:tabs>
                <w:tab w:val="center" w:pos="3300"/>
              </w:tabs>
              <w:spacing w:line="480" w:lineRule="auto"/>
              <w:rPr>
                <w:lang w:val="en-US"/>
              </w:rPr>
            </w:pPr>
            <w:r>
              <w:rPr>
                <w:lang w:val="en-US"/>
              </w:rPr>
              <w:t>Amber protein force field</w:t>
            </w:r>
          </w:p>
        </w:tc>
      </w:tr>
      <w:tr w:rsidR="00F13BDE" w:rsidRPr="00617127" w14:paraId="3DD3DA40" w14:textId="77777777" w:rsidTr="00057203">
        <w:tc>
          <w:tcPr>
            <w:tcW w:w="2245" w:type="dxa"/>
          </w:tcPr>
          <w:p w14:paraId="5FCE781F" w14:textId="77777777" w:rsidR="00F13BDE" w:rsidRDefault="00F13BDE" w:rsidP="00057203">
            <w:pPr>
              <w:spacing w:line="480" w:lineRule="auto"/>
              <w:rPr>
                <w:lang w:val="en-US"/>
              </w:rPr>
            </w:pPr>
            <w:r>
              <w:rPr>
                <w:lang w:val="en-US"/>
              </w:rPr>
              <w:t>GAFF2</w:t>
            </w:r>
          </w:p>
        </w:tc>
        <w:tc>
          <w:tcPr>
            <w:tcW w:w="6817" w:type="dxa"/>
          </w:tcPr>
          <w:p w14:paraId="0EE33779" w14:textId="77777777" w:rsidR="00F13BDE" w:rsidRDefault="00F13BDE" w:rsidP="00057203">
            <w:pPr>
              <w:tabs>
                <w:tab w:val="center" w:pos="3300"/>
              </w:tabs>
              <w:spacing w:line="480" w:lineRule="auto"/>
              <w:rPr>
                <w:lang w:val="en-US"/>
              </w:rPr>
            </w:pPr>
            <w:r>
              <w:rPr>
                <w:lang w:val="en-US"/>
              </w:rPr>
              <w:t>General Amber force field 2</w:t>
            </w:r>
          </w:p>
        </w:tc>
      </w:tr>
      <w:tr w:rsidR="00F13BDE" w14:paraId="35B11055" w14:textId="77777777" w:rsidTr="00057203">
        <w:tc>
          <w:tcPr>
            <w:tcW w:w="2245" w:type="dxa"/>
          </w:tcPr>
          <w:p w14:paraId="0368930F" w14:textId="77777777" w:rsidR="00F13BDE" w:rsidRDefault="00F13BDE" w:rsidP="00057203">
            <w:pPr>
              <w:spacing w:line="480" w:lineRule="auto"/>
              <w:rPr>
                <w:lang w:val="en-US"/>
              </w:rPr>
            </w:pPr>
            <w:r>
              <w:rPr>
                <w:lang w:val="en-US"/>
              </w:rPr>
              <w:t>GIST</w:t>
            </w:r>
          </w:p>
        </w:tc>
        <w:tc>
          <w:tcPr>
            <w:tcW w:w="6817" w:type="dxa"/>
          </w:tcPr>
          <w:p w14:paraId="5DDE56B4" w14:textId="77777777" w:rsidR="00F13BDE" w:rsidRDefault="00F13BDE" w:rsidP="00057203">
            <w:pPr>
              <w:spacing w:line="480" w:lineRule="auto"/>
              <w:rPr>
                <w:lang w:val="en-US"/>
              </w:rPr>
            </w:pPr>
            <w:r>
              <w:rPr>
                <w:lang w:val="en-US"/>
              </w:rPr>
              <w:t>Grid inhomogeneous solvation theory</w:t>
            </w:r>
          </w:p>
        </w:tc>
      </w:tr>
      <w:tr w:rsidR="00F13BDE" w14:paraId="0825E753" w14:textId="77777777" w:rsidTr="00057203">
        <w:tc>
          <w:tcPr>
            <w:tcW w:w="2245" w:type="dxa"/>
          </w:tcPr>
          <w:p w14:paraId="64CC57A8" w14:textId="77777777" w:rsidR="00F13BDE" w:rsidRPr="00F2411B" w:rsidRDefault="00F13BDE" w:rsidP="00057203">
            <w:pPr>
              <w:spacing w:line="480" w:lineRule="auto"/>
              <w:rPr>
                <w:lang w:val="en-US"/>
              </w:rPr>
            </w:pPr>
            <w:r>
              <w:rPr>
                <w:lang w:val="en-US"/>
              </w:rPr>
              <w:t>GPU</w:t>
            </w:r>
          </w:p>
        </w:tc>
        <w:tc>
          <w:tcPr>
            <w:tcW w:w="6817" w:type="dxa"/>
          </w:tcPr>
          <w:p w14:paraId="0E4BAC83" w14:textId="77777777" w:rsidR="00F13BDE" w:rsidRPr="00F2411B" w:rsidRDefault="00F13BDE" w:rsidP="00057203">
            <w:pPr>
              <w:spacing w:line="480" w:lineRule="auto"/>
              <w:rPr>
                <w:lang w:val="en-US"/>
              </w:rPr>
            </w:pPr>
            <w:r>
              <w:rPr>
                <w:lang w:val="en-US"/>
              </w:rPr>
              <w:t>Graphical processing unit</w:t>
            </w:r>
          </w:p>
        </w:tc>
      </w:tr>
      <w:tr w:rsidR="00F13BDE" w14:paraId="7ACBA527" w14:textId="77777777" w:rsidTr="00057203">
        <w:tc>
          <w:tcPr>
            <w:tcW w:w="2245" w:type="dxa"/>
          </w:tcPr>
          <w:p w14:paraId="31280470" w14:textId="77777777" w:rsidR="00F13BDE" w:rsidRPr="00F2411B" w:rsidRDefault="00F13BDE" w:rsidP="00057203">
            <w:pPr>
              <w:spacing w:line="480" w:lineRule="auto"/>
              <w:rPr>
                <w:lang w:val="en-US"/>
              </w:rPr>
            </w:pPr>
            <w:r w:rsidRPr="00F2411B">
              <w:rPr>
                <w:lang w:val="en-US"/>
              </w:rPr>
              <w:t>IFN</w:t>
            </w:r>
          </w:p>
        </w:tc>
        <w:tc>
          <w:tcPr>
            <w:tcW w:w="6817" w:type="dxa"/>
          </w:tcPr>
          <w:p w14:paraId="673F19BF" w14:textId="77777777" w:rsidR="00F13BDE" w:rsidRPr="00F2411B" w:rsidRDefault="00F13BDE" w:rsidP="00057203">
            <w:pPr>
              <w:spacing w:line="480" w:lineRule="auto"/>
              <w:rPr>
                <w:lang w:val="en-US"/>
              </w:rPr>
            </w:pPr>
            <w:r>
              <w:rPr>
                <w:lang w:val="en-US"/>
              </w:rPr>
              <w:t>Interferon-alpha-2a</w:t>
            </w:r>
          </w:p>
        </w:tc>
      </w:tr>
      <w:tr w:rsidR="00F13BDE" w:rsidRPr="007C20BD" w14:paraId="264A30DB" w14:textId="77777777" w:rsidTr="00057203">
        <w:tc>
          <w:tcPr>
            <w:tcW w:w="2245" w:type="dxa"/>
          </w:tcPr>
          <w:p w14:paraId="718BB12A" w14:textId="77777777" w:rsidR="00F13BDE" w:rsidRDefault="00F13BDE" w:rsidP="00057203">
            <w:pPr>
              <w:spacing w:line="480" w:lineRule="auto"/>
              <w:rPr>
                <w:lang w:val="en-US"/>
              </w:rPr>
            </w:pPr>
            <w:r>
              <w:rPr>
                <w:lang w:val="en-US"/>
              </w:rPr>
              <w:t>IP</w:t>
            </w:r>
          </w:p>
        </w:tc>
        <w:tc>
          <w:tcPr>
            <w:tcW w:w="6817" w:type="dxa"/>
          </w:tcPr>
          <w:p w14:paraId="17189CF5" w14:textId="77777777" w:rsidR="00F13BDE" w:rsidRDefault="00F13BDE" w:rsidP="00057203">
            <w:pPr>
              <w:spacing w:line="480" w:lineRule="auto"/>
              <w:rPr>
                <w:lang w:val="en-US"/>
              </w:rPr>
            </w:pPr>
            <w:r>
              <w:rPr>
                <w:lang w:val="en-US"/>
              </w:rPr>
              <w:t>Infliction point of temperature dependent fluorescence signal curve</w:t>
            </w:r>
          </w:p>
        </w:tc>
      </w:tr>
      <w:tr w:rsidR="00F13BDE" w:rsidRPr="00166CB6" w14:paraId="4B7F0B60" w14:textId="77777777" w:rsidTr="00057203">
        <w:tc>
          <w:tcPr>
            <w:tcW w:w="2245" w:type="dxa"/>
          </w:tcPr>
          <w:p w14:paraId="074110D6" w14:textId="77777777" w:rsidR="00F13BDE" w:rsidRDefault="00F13BDE" w:rsidP="00057203">
            <w:pPr>
              <w:spacing w:line="480" w:lineRule="auto"/>
              <w:rPr>
                <w:lang w:val="en-US"/>
              </w:rPr>
            </w:pPr>
            <w:r>
              <w:rPr>
                <w:lang w:val="en-US"/>
              </w:rPr>
              <w:t>MD</w:t>
            </w:r>
          </w:p>
        </w:tc>
        <w:tc>
          <w:tcPr>
            <w:tcW w:w="6817" w:type="dxa"/>
          </w:tcPr>
          <w:p w14:paraId="662F9BF6" w14:textId="77777777" w:rsidR="00F13BDE" w:rsidRDefault="00F13BDE" w:rsidP="00057203">
            <w:pPr>
              <w:spacing w:line="480" w:lineRule="auto"/>
              <w:rPr>
                <w:lang w:val="en-US"/>
              </w:rPr>
            </w:pPr>
            <w:r>
              <w:rPr>
                <w:lang w:val="en-US"/>
              </w:rPr>
              <w:t>Molecular dynamics</w:t>
            </w:r>
          </w:p>
        </w:tc>
      </w:tr>
      <w:tr w:rsidR="00F13BDE" w:rsidRPr="007C20BD" w14:paraId="09C260A1" w14:textId="77777777" w:rsidTr="00057203">
        <w:tc>
          <w:tcPr>
            <w:tcW w:w="2245" w:type="dxa"/>
          </w:tcPr>
          <w:p w14:paraId="63E44800" w14:textId="77777777" w:rsidR="00F13BDE" w:rsidRDefault="00F13BDE" w:rsidP="00057203">
            <w:pPr>
              <w:spacing w:line="480" w:lineRule="auto"/>
              <w:rPr>
                <w:lang w:val="en-US"/>
              </w:rPr>
            </w:pPr>
            <w:r>
              <w:rPr>
                <w:lang w:val="en-US"/>
              </w:rPr>
              <w:t>MM-GBSA</w:t>
            </w:r>
          </w:p>
        </w:tc>
        <w:tc>
          <w:tcPr>
            <w:tcW w:w="6817" w:type="dxa"/>
          </w:tcPr>
          <w:p w14:paraId="47AB17F1" w14:textId="77777777" w:rsidR="00F13BDE" w:rsidRDefault="00F13BDE" w:rsidP="00057203">
            <w:pPr>
              <w:spacing w:line="480" w:lineRule="auto"/>
              <w:rPr>
                <w:lang w:val="en-US"/>
              </w:rPr>
            </w:pPr>
            <w:r>
              <w:rPr>
                <w:lang w:val="en-US"/>
              </w:rPr>
              <w:t>Molecular mechanics – generalized born surface area</w:t>
            </w:r>
          </w:p>
        </w:tc>
      </w:tr>
      <w:tr w:rsidR="00F13BDE" w:rsidRPr="002C4567" w14:paraId="62667E14" w14:textId="77777777" w:rsidTr="00057203">
        <w:tc>
          <w:tcPr>
            <w:tcW w:w="2245" w:type="dxa"/>
          </w:tcPr>
          <w:p w14:paraId="0101BF6F" w14:textId="77777777" w:rsidR="00F13BDE" w:rsidRDefault="00F13BDE" w:rsidP="00057203">
            <w:pPr>
              <w:spacing w:line="480" w:lineRule="auto"/>
              <w:rPr>
                <w:lang w:val="en-US"/>
              </w:rPr>
            </w:pPr>
            <w:r>
              <w:rPr>
                <w:lang w:val="en-US"/>
              </w:rPr>
              <w:t>MST</w:t>
            </w:r>
          </w:p>
        </w:tc>
        <w:tc>
          <w:tcPr>
            <w:tcW w:w="6817" w:type="dxa"/>
          </w:tcPr>
          <w:p w14:paraId="3B19A89E" w14:textId="77777777" w:rsidR="00F13BDE" w:rsidRDefault="00F13BDE" w:rsidP="00057203">
            <w:pPr>
              <w:spacing w:line="480" w:lineRule="auto"/>
              <w:rPr>
                <w:lang w:val="en-US"/>
              </w:rPr>
            </w:pPr>
            <w:r>
              <w:rPr>
                <w:lang w:val="en-US"/>
              </w:rPr>
              <w:t>Microscale Thermophoresis</w:t>
            </w:r>
          </w:p>
        </w:tc>
      </w:tr>
      <w:tr w:rsidR="00F13BDE" w:rsidRPr="004F1472" w14:paraId="422E3AA1" w14:textId="77777777" w:rsidTr="00057203">
        <w:tc>
          <w:tcPr>
            <w:tcW w:w="2245" w:type="dxa"/>
          </w:tcPr>
          <w:p w14:paraId="10FFB1EA" w14:textId="77777777" w:rsidR="00F13BDE" w:rsidRDefault="00F13BDE" w:rsidP="00057203">
            <w:pPr>
              <w:spacing w:line="480" w:lineRule="auto"/>
              <w:rPr>
                <w:lang w:val="en-US"/>
              </w:rPr>
            </w:pPr>
            <w:r>
              <w:rPr>
                <w:lang w:val="en-US"/>
              </w:rPr>
              <w:t>M</w:t>
            </w:r>
            <w:r w:rsidRPr="002A43BC">
              <w:rPr>
                <w:vertAlign w:val="subscript"/>
                <w:lang w:val="en-US"/>
              </w:rPr>
              <w:t>w</w:t>
            </w:r>
          </w:p>
        </w:tc>
        <w:tc>
          <w:tcPr>
            <w:tcW w:w="6817" w:type="dxa"/>
          </w:tcPr>
          <w:p w14:paraId="3C592005" w14:textId="77777777" w:rsidR="00F13BDE" w:rsidRDefault="00F13BDE" w:rsidP="00057203">
            <w:pPr>
              <w:spacing w:line="480" w:lineRule="auto"/>
              <w:rPr>
                <w:lang w:val="en-US"/>
              </w:rPr>
            </w:pPr>
            <w:r>
              <w:rPr>
                <w:lang w:val="en-US"/>
              </w:rPr>
              <w:t>Molecular weight</w:t>
            </w:r>
          </w:p>
        </w:tc>
      </w:tr>
      <w:tr w:rsidR="00F13BDE" w:rsidRPr="00EA4B75" w14:paraId="4E77AE85" w14:textId="77777777" w:rsidTr="00057203">
        <w:tc>
          <w:tcPr>
            <w:tcW w:w="2245" w:type="dxa"/>
          </w:tcPr>
          <w:p w14:paraId="028C1207" w14:textId="77777777" w:rsidR="00F13BDE" w:rsidRDefault="00F13BDE" w:rsidP="00057203">
            <w:pPr>
              <w:spacing w:line="480" w:lineRule="auto"/>
              <w:rPr>
                <w:lang w:val="en-US"/>
              </w:rPr>
            </w:pPr>
            <w:r>
              <w:rPr>
                <w:lang w:val="en-US"/>
              </w:rPr>
              <w:t>PDB</w:t>
            </w:r>
          </w:p>
        </w:tc>
        <w:tc>
          <w:tcPr>
            <w:tcW w:w="6817" w:type="dxa"/>
          </w:tcPr>
          <w:p w14:paraId="529C3A5C" w14:textId="77777777" w:rsidR="00F13BDE" w:rsidRDefault="00F13BDE" w:rsidP="00057203">
            <w:pPr>
              <w:spacing w:line="480" w:lineRule="auto"/>
              <w:rPr>
                <w:lang w:val="en-US"/>
              </w:rPr>
            </w:pPr>
            <w:r>
              <w:rPr>
                <w:lang w:val="en-US"/>
              </w:rPr>
              <w:t>Protein database</w:t>
            </w:r>
          </w:p>
        </w:tc>
      </w:tr>
      <w:tr w:rsidR="00F13BDE" w:rsidRPr="007C20BD" w14:paraId="03F5E819" w14:textId="77777777" w:rsidTr="00057203">
        <w:tc>
          <w:tcPr>
            <w:tcW w:w="2245" w:type="dxa"/>
          </w:tcPr>
          <w:p w14:paraId="606EFFA7" w14:textId="77777777" w:rsidR="00F13BDE" w:rsidRDefault="00F13BDE" w:rsidP="00057203">
            <w:pPr>
              <w:spacing w:line="480" w:lineRule="auto"/>
              <w:rPr>
                <w:lang w:val="en-US"/>
              </w:rPr>
            </w:pPr>
            <w:r>
              <w:rPr>
                <w:lang w:val="en-US"/>
              </w:rPr>
              <w:t>pmemd</w:t>
            </w:r>
          </w:p>
        </w:tc>
        <w:tc>
          <w:tcPr>
            <w:tcW w:w="6817" w:type="dxa"/>
          </w:tcPr>
          <w:p w14:paraId="1D52939E" w14:textId="77777777" w:rsidR="00F13BDE" w:rsidRDefault="00F13BDE" w:rsidP="00057203">
            <w:pPr>
              <w:spacing w:line="480" w:lineRule="auto"/>
              <w:rPr>
                <w:lang w:val="en-US"/>
              </w:rPr>
            </w:pPr>
            <w:r>
              <w:rPr>
                <w:lang w:val="en-US"/>
              </w:rPr>
              <w:t>Particle-Mesh Ewald Molecular Dynamics</w:t>
            </w:r>
          </w:p>
        </w:tc>
      </w:tr>
      <w:tr w:rsidR="00F13BDE" w:rsidRPr="00617127" w14:paraId="35EFDA2A" w14:textId="77777777" w:rsidTr="00057203">
        <w:tc>
          <w:tcPr>
            <w:tcW w:w="2245" w:type="dxa"/>
          </w:tcPr>
          <w:p w14:paraId="0BD5B671" w14:textId="77777777" w:rsidR="00F13BDE" w:rsidRDefault="00F13BDE" w:rsidP="00057203">
            <w:pPr>
              <w:spacing w:line="480" w:lineRule="auto"/>
              <w:rPr>
                <w:lang w:val="en-US"/>
              </w:rPr>
            </w:pPr>
            <w:r>
              <w:rPr>
                <w:lang w:val="en-US"/>
              </w:rPr>
              <w:t>RESP</w:t>
            </w:r>
          </w:p>
        </w:tc>
        <w:tc>
          <w:tcPr>
            <w:tcW w:w="6817" w:type="dxa"/>
          </w:tcPr>
          <w:p w14:paraId="20C4B8BC" w14:textId="77777777" w:rsidR="00F13BDE" w:rsidRDefault="00F13BDE" w:rsidP="00057203">
            <w:pPr>
              <w:spacing w:line="480" w:lineRule="auto"/>
              <w:rPr>
                <w:lang w:val="en-US"/>
              </w:rPr>
            </w:pPr>
            <w:r>
              <w:rPr>
                <w:lang w:val="en-US"/>
              </w:rPr>
              <w:t>Restrained electrostatic potential</w:t>
            </w:r>
          </w:p>
        </w:tc>
      </w:tr>
      <w:tr w:rsidR="00F13BDE" w:rsidRPr="004F1472" w14:paraId="55744F89" w14:textId="77777777" w:rsidTr="00057203">
        <w:tc>
          <w:tcPr>
            <w:tcW w:w="2245" w:type="dxa"/>
          </w:tcPr>
          <w:p w14:paraId="4D915D3E" w14:textId="77777777" w:rsidR="00F13BDE" w:rsidRDefault="00F13BDE" w:rsidP="00057203">
            <w:pPr>
              <w:spacing w:line="480" w:lineRule="auto"/>
              <w:rPr>
                <w:lang w:val="en-US"/>
              </w:rPr>
            </w:pPr>
            <w:r>
              <w:rPr>
                <w:lang w:val="en-US"/>
              </w:rPr>
              <w:t>SLS</w:t>
            </w:r>
          </w:p>
        </w:tc>
        <w:tc>
          <w:tcPr>
            <w:tcW w:w="6817" w:type="dxa"/>
          </w:tcPr>
          <w:p w14:paraId="5CB2E126" w14:textId="77777777" w:rsidR="00F13BDE" w:rsidRDefault="00F13BDE" w:rsidP="00057203">
            <w:pPr>
              <w:spacing w:line="480" w:lineRule="auto"/>
              <w:rPr>
                <w:lang w:val="en-US"/>
              </w:rPr>
            </w:pPr>
            <w:r>
              <w:rPr>
                <w:lang w:val="en-US"/>
              </w:rPr>
              <w:t>Static light scattering</w:t>
            </w:r>
          </w:p>
        </w:tc>
      </w:tr>
      <w:tr w:rsidR="00F13BDE" w:rsidRPr="007C20BD" w14:paraId="259F617B" w14:textId="77777777" w:rsidTr="00057203">
        <w:tc>
          <w:tcPr>
            <w:tcW w:w="2245" w:type="dxa"/>
          </w:tcPr>
          <w:p w14:paraId="6A1C27B7" w14:textId="77777777" w:rsidR="00F13BDE" w:rsidRDefault="00F13BDE" w:rsidP="00057203">
            <w:pPr>
              <w:spacing w:line="480" w:lineRule="auto"/>
              <w:rPr>
                <w:lang w:val="en-US"/>
              </w:rPr>
            </w:pPr>
            <w:r>
              <w:rPr>
                <w:lang w:val="en-US"/>
              </w:rPr>
              <w:t>T</w:t>
            </w:r>
            <w:r w:rsidRPr="00EE75CE">
              <w:rPr>
                <w:vertAlign w:val="subscript"/>
                <w:lang w:val="en-US"/>
              </w:rPr>
              <w:t>onset</w:t>
            </w:r>
          </w:p>
        </w:tc>
        <w:tc>
          <w:tcPr>
            <w:tcW w:w="6817" w:type="dxa"/>
          </w:tcPr>
          <w:p w14:paraId="552C755D" w14:textId="77777777" w:rsidR="00F13BDE" w:rsidRDefault="00F13BDE" w:rsidP="00057203">
            <w:pPr>
              <w:spacing w:line="480" w:lineRule="auto"/>
              <w:rPr>
                <w:lang w:val="en-US"/>
              </w:rPr>
            </w:pPr>
            <w:r>
              <w:rPr>
                <w:lang w:val="en-US"/>
              </w:rPr>
              <w:t>Temperature of onset of aggregation</w:t>
            </w:r>
          </w:p>
        </w:tc>
      </w:tr>
    </w:tbl>
    <w:p w14:paraId="6E6B665A" w14:textId="77777777" w:rsidR="00F13BDE" w:rsidRPr="00F2411B" w:rsidRDefault="00F13BDE" w:rsidP="00F13BDE">
      <w:pPr>
        <w:spacing w:line="480" w:lineRule="auto"/>
        <w:rPr>
          <w:b/>
          <w:lang w:val="en-US"/>
        </w:rPr>
      </w:pPr>
    </w:p>
    <w:p w14:paraId="2DAAE10D" w14:textId="77777777" w:rsidR="00F13BDE" w:rsidRDefault="00F13BDE" w:rsidP="00F13BDE">
      <w:pPr>
        <w:spacing w:line="480" w:lineRule="auto"/>
        <w:rPr>
          <w:b/>
          <w:lang w:val="en-US"/>
        </w:rPr>
        <w:sectPr w:rsidR="00F13BDE" w:rsidSect="00AE2F57">
          <w:pgSz w:w="11906" w:h="16838"/>
          <w:pgMar w:top="1417" w:right="1417" w:bottom="1134" w:left="1417" w:header="708" w:footer="708" w:gutter="0"/>
          <w:cols w:space="708"/>
          <w:docGrid w:linePitch="360"/>
        </w:sectPr>
      </w:pPr>
    </w:p>
    <w:p w14:paraId="2E3D0847" w14:textId="77777777" w:rsidR="00F13BDE" w:rsidRPr="00F13BDE" w:rsidRDefault="00F13BDE" w:rsidP="00A129E5">
      <w:pPr>
        <w:spacing w:line="480" w:lineRule="auto"/>
        <w:rPr>
          <w:lang w:val="en-US"/>
        </w:rPr>
      </w:pPr>
    </w:p>
    <w:p w14:paraId="08148046" w14:textId="2A2B07C4" w:rsidR="00AE2F57" w:rsidRPr="0071707D" w:rsidRDefault="00AE2F57" w:rsidP="00AE2F57">
      <w:pPr>
        <w:pStyle w:val="Caption"/>
        <w:keepNext/>
        <w:spacing w:line="480" w:lineRule="auto"/>
        <w:rPr>
          <w:lang w:val="en-US"/>
        </w:rPr>
      </w:pPr>
      <w:bookmarkStart w:id="4" w:name="_Ref510885891"/>
      <w:r w:rsidRPr="0071707D">
        <w:rPr>
          <w:lang w:val="en-US"/>
        </w:rPr>
        <w:t xml:space="preserve">Table </w:t>
      </w:r>
      <w:r>
        <w:fldChar w:fldCharType="begin"/>
      </w:r>
      <w:r w:rsidRPr="0071707D">
        <w:rPr>
          <w:lang w:val="en-US"/>
        </w:rPr>
        <w:instrText xml:space="preserve"> SEQ Table \* ARABIC </w:instrText>
      </w:r>
      <w:r>
        <w:fldChar w:fldCharType="separate"/>
      </w:r>
      <w:r w:rsidR="00941055">
        <w:rPr>
          <w:noProof/>
          <w:lang w:val="en-US"/>
        </w:rPr>
        <w:t>1</w:t>
      </w:r>
      <w:r>
        <w:fldChar w:fldCharType="end"/>
      </w:r>
      <w:bookmarkEnd w:id="4"/>
      <w:r w:rsidRPr="0071707D">
        <w:rPr>
          <w:lang w:val="en-US"/>
        </w:rPr>
        <w:t>: List of purchased compounds</w:t>
      </w:r>
    </w:p>
    <w:tbl>
      <w:tblPr>
        <w:tblStyle w:val="TableGrid"/>
        <w:tblW w:w="11671" w:type="dxa"/>
        <w:tblLayout w:type="fixed"/>
        <w:tblLook w:val="04A0" w:firstRow="1" w:lastRow="0" w:firstColumn="1" w:lastColumn="0" w:noHBand="0" w:noVBand="1"/>
      </w:tblPr>
      <w:tblGrid>
        <w:gridCol w:w="1255"/>
        <w:gridCol w:w="1806"/>
        <w:gridCol w:w="2666"/>
        <w:gridCol w:w="873"/>
        <w:gridCol w:w="1517"/>
        <w:gridCol w:w="1517"/>
        <w:gridCol w:w="1058"/>
        <w:gridCol w:w="979"/>
      </w:tblGrid>
      <w:tr w:rsidR="00AE2F57" w14:paraId="1FDEEACA" w14:textId="77777777" w:rsidTr="00AE2F57">
        <w:tc>
          <w:tcPr>
            <w:tcW w:w="1255" w:type="dxa"/>
            <w:vAlign w:val="center"/>
          </w:tcPr>
          <w:p w14:paraId="1589B5EE" w14:textId="77777777" w:rsidR="00AE2F57" w:rsidRPr="00EF1F34" w:rsidRDefault="00AE2F57" w:rsidP="00057203">
            <w:pPr>
              <w:spacing w:line="480" w:lineRule="auto"/>
              <w:jc w:val="center"/>
              <w:rPr>
                <w:b/>
                <w:lang w:val="en-US"/>
              </w:rPr>
            </w:pPr>
            <w:r w:rsidRPr="00EF1F34">
              <w:rPr>
                <w:b/>
                <w:lang w:val="en-US"/>
              </w:rPr>
              <w:t>Compound</w:t>
            </w:r>
          </w:p>
        </w:tc>
        <w:tc>
          <w:tcPr>
            <w:tcW w:w="1806" w:type="dxa"/>
            <w:vAlign w:val="center"/>
          </w:tcPr>
          <w:p w14:paraId="5F151D49" w14:textId="77777777" w:rsidR="00AE2F57" w:rsidRDefault="00AE2F57" w:rsidP="00057203">
            <w:pPr>
              <w:spacing w:line="480" w:lineRule="auto"/>
              <w:jc w:val="center"/>
              <w:rPr>
                <w:rFonts w:ascii="Calibri" w:eastAsia="Calibri" w:hAnsi="Calibri" w:cs="Times New Roman"/>
                <w:b/>
                <w:lang w:val="en-US"/>
              </w:rPr>
            </w:pPr>
            <w:r>
              <w:rPr>
                <w:rFonts w:ascii="Calibri" w:eastAsia="Calibri" w:hAnsi="Calibri" w:cs="Times New Roman"/>
                <w:b/>
                <w:lang w:val="en-US"/>
              </w:rPr>
              <w:t>Name</w:t>
            </w:r>
          </w:p>
        </w:tc>
        <w:tc>
          <w:tcPr>
            <w:tcW w:w="2666" w:type="dxa"/>
            <w:vAlign w:val="center"/>
          </w:tcPr>
          <w:p w14:paraId="481171B4" w14:textId="77777777" w:rsidR="00AE2F57" w:rsidRDefault="00AE2F57" w:rsidP="00057203">
            <w:pPr>
              <w:spacing w:line="480" w:lineRule="auto"/>
              <w:jc w:val="center"/>
              <w:rPr>
                <w:rFonts w:ascii="Calibri" w:eastAsia="Calibri" w:hAnsi="Calibri" w:cs="Times New Roman"/>
                <w:b/>
                <w:lang w:val="en-US"/>
              </w:rPr>
            </w:pPr>
            <w:r>
              <w:rPr>
                <w:rFonts w:ascii="Calibri" w:eastAsia="Calibri" w:hAnsi="Calibri" w:cs="Times New Roman"/>
                <w:b/>
                <w:lang w:val="en-US"/>
              </w:rPr>
              <w:t>Structure</w:t>
            </w:r>
          </w:p>
        </w:tc>
        <w:tc>
          <w:tcPr>
            <w:tcW w:w="873" w:type="dxa"/>
            <w:vAlign w:val="center"/>
          </w:tcPr>
          <w:p w14:paraId="6043EDB7" w14:textId="77777777" w:rsidR="00AE2F57" w:rsidRPr="00EF1F34" w:rsidRDefault="008956E5" w:rsidP="00057203">
            <w:pPr>
              <w:spacing w:line="480" w:lineRule="auto"/>
              <w:jc w:val="center"/>
              <w:rPr>
                <w:b/>
                <w:lang w:val="en-US"/>
              </w:rPr>
            </w:pPr>
            <m:oMathPara>
              <m:oMath>
                <m:sSub>
                  <m:sSubPr>
                    <m:ctrlPr>
                      <w:rPr>
                        <w:rFonts w:ascii="Cambria Math" w:hAnsi="Cambria Math"/>
                        <w:b/>
                        <w:i/>
                        <w:lang w:val="en-US"/>
                      </w:rPr>
                    </m:ctrlPr>
                  </m:sSubPr>
                  <m:e>
                    <m:r>
                      <m:rPr>
                        <m:sty m:val="bi"/>
                      </m:rPr>
                      <w:rPr>
                        <w:rFonts w:ascii="Cambria Math" w:hAnsi="Cambria Math"/>
                        <w:lang w:val="en-US"/>
                      </w:rPr>
                      <m:t>log</m:t>
                    </m:r>
                  </m:e>
                  <m:sub>
                    <m:r>
                      <m:rPr>
                        <m:sty m:val="bi"/>
                      </m:rPr>
                      <w:rPr>
                        <w:rFonts w:ascii="Cambria Math" w:hAnsi="Cambria Math"/>
                        <w:lang w:val="en-US"/>
                      </w:rPr>
                      <m:t>10</m:t>
                    </m:r>
                  </m:sub>
                </m:sSub>
                <m:r>
                  <m:rPr>
                    <m:sty m:val="bi"/>
                  </m:rPr>
                  <w:rPr>
                    <w:rFonts w:ascii="Cambria Math" w:hAnsi="Cambria Math"/>
                    <w:lang w:val="en-US"/>
                  </w:rPr>
                  <m:t>S</m:t>
                </m:r>
              </m:oMath>
            </m:oMathPara>
          </w:p>
        </w:tc>
        <w:tc>
          <w:tcPr>
            <w:tcW w:w="1517" w:type="dxa"/>
          </w:tcPr>
          <w:p w14:paraId="290371D4" w14:textId="77777777" w:rsidR="00AE2F57" w:rsidRPr="00507C1C" w:rsidRDefault="00AE2F57" w:rsidP="00057203">
            <w:pPr>
              <w:spacing w:line="480" w:lineRule="auto"/>
              <w:jc w:val="center"/>
              <w:rPr>
                <w:b/>
                <w:lang w:val="es-AR"/>
              </w:rPr>
            </w:pPr>
            <w:r>
              <w:rPr>
                <w:b/>
                <w:lang w:val="en-US"/>
              </w:rPr>
              <w:t>Δ</w:t>
            </w:r>
            <w:r w:rsidRPr="00507C1C">
              <w:rPr>
                <w:b/>
                <w:lang w:val="es-AR"/>
              </w:rPr>
              <w:t>G MM-GBSA (kcal/mol)</w:t>
            </w:r>
          </w:p>
        </w:tc>
        <w:tc>
          <w:tcPr>
            <w:tcW w:w="1517" w:type="dxa"/>
            <w:vAlign w:val="center"/>
          </w:tcPr>
          <w:p w14:paraId="04329E85" w14:textId="77777777" w:rsidR="00AE2F57" w:rsidRPr="002C4567" w:rsidRDefault="00AE2F57" w:rsidP="00057203">
            <w:pPr>
              <w:spacing w:line="480" w:lineRule="auto"/>
              <w:jc w:val="center"/>
              <w:rPr>
                <w:b/>
                <w:lang w:val="en-US"/>
              </w:rPr>
            </w:pPr>
            <w:r>
              <w:rPr>
                <w:b/>
                <w:lang w:val="en-US"/>
              </w:rPr>
              <w:t>Dissociation constant K</w:t>
            </w:r>
            <w:r w:rsidRPr="00726FF5">
              <w:rPr>
                <w:b/>
                <w:vertAlign w:val="subscript"/>
                <w:lang w:val="en-US"/>
              </w:rPr>
              <w:t>d</w:t>
            </w:r>
            <w:r>
              <w:rPr>
                <w:b/>
                <w:vertAlign w:val="subscript"/>
                <w:lang w:val="en-US"/>
              </w:rPr>
              <w:t xml:space="preserve"> </w:t>
            </w:r>
            <w:r>
              <w:rPr>
                <w:b/>
                <w:lang w:val="en-US"/>
              </w:rPr>
              <w:t>(MST)</w:t>
            </w:r>
          </w:p>
        </w:tc>
        <w:tc>
          <w:tcPr>
            <w:tcW w:w="1058" w:type="dxa"/>
            <w:vAlign w:val="center"/>
          </w:tcPr>
          <w:p w14:paraId="24F81941" w14:textId="77777777" w:rsidR="00AE2F57" w:rsidRPr="00EF1F34" w:rsidRDefault="00AE2F57" w:rsidP="00057203">
            <w:pPr>
              <w:spacing w:line="480" w:lineRule="auto"/>
              <w:jc w:val="center"/>
              <w:rPr>
                <w:b/>
                <w:lang w:val="en-US"/>
              </w:rPr>
            </w:pPr>
            <w:r>
              <w:rPr>
                <w:b/>
                <w:lang w:val="en-US"/>
              </w:rPr>
              <w:t>Source</w:t>
            </w:r>
          </w:p>
        </w:tc>
        <w:tc>
          <w:tcPr>
            <w:tcW w:w="979" w:type="dxa"/>
            <w:vAlign w:val="center"/>
          </w:tcPr>
          <w:p w14:paraId="5CED8A49" w14:textId="77777777" w:rsidR="00AE2F57" w:rsidRPr="00EF1F34" w:rsidRDefault="00AE2F57" w:rsidP="00057203">
            <w:pPr>
              <w:spacing w:line="480" w:lineRule="auto"/>
              <w:jc w:val="center"/>
              <w:rPr>
                <w:b/>
                <w:lang w:val="en-US"/>
              </w:rPr>
            </w:pPr>
            <w:r>
              <w:rPr>
                <w:b/>
                <w:lang w:val="en-US"/>
              </w:rPr>
              <w:t>Purity</w:t>
            </w:r>
          </w:p>
        </w:tc>
      </w:tr>
      <w:tr w:rsidR="00AE2F57" w14:paraId="1F7F263A" w14:textId="77777777" w:rsidTr="00AE2F57">
        <w:trPr>
          <w:trHeight w:val="567"/>
        </w:trPr>
        <w:tc>
          <w:tcPr>
            <w:tcW w:w="1255" w:type="dxa"/>
            <w:vAlign w:val="center"/>
          </w:tcPr>
          <w:p w14:paraId="45E1F9CF" w14:textId="77777777" w:rsidR="00AE2F57" w:rsidRDefault="00AE2F57" w:rsidP="00057203">
            <w:pPr>
              <w:spacing w:line="480" w:lineRule="auto"/>
              <w:jc w:val="center"/>
              <w:rPr>
                <w:lang w:val="en-US"/>
              </w:rPr>
            </w:pPr>
            <w:r>
              <w:rPr>
                <w:lang w:val="en-US"/>
              </w:rPr>
              <w:t>A</w:t>
            </w:r>
          </w:p>
        </w:tc>
        <w:tc>
          <w:tcPr>
            <w:tcW w:w="1806" w:type="dxa"/>
            <w:vAlign w:val="center"/>
          </w:tcPr>
          <w:p w14:paraId="09395D68" w14:textId="77777777" w:rsidR="00AE2F57" w:rsidRDefault="00AE2F57" w:rsidP="00057203">
            <w:pPr>
              <w:spacing w:line="480" w:lineRule="auto"/>
              <w:jc w:val="center"/>
              <w:rPr>
                <w:lang w:val="en-US"/>
              </w:rPr>
            </w:pPr>
            <w:r>
              <w:rPr>
                <w:lang w:val="en-US"/>
              </w:rPr>
              <w:t>Glycyl-D-asparagine</w:t>
            </w:r>
          </w:p>
        </w:tc>
        <w:tc>
          <w:tcPr>
            <w:tcW w:w="2666" w:type="dxa"/>
            <w:vAlign w:val="center"/>
          </w:tcPr>
          <w:p w14:paraId="78C12523" w14:textId="77777777" w:rsidR="00AE2F57" w:rsidRDefault="008956E5" w:rsidP="00057203">
            <w:pPr>
              <w:spacing w:line="480" w:lineRule="auto"/>
              <w:jc w:val="center"/>
              <w:rPr>
                <w:lang w:val="en-US"/>
              </w:rPr>
            </w:pPr>
            <w:r>
              <w:rPr>
                <w:noProof/>
              </w:rPr>
              <w:object w:dxaOrig="3852" w:dyaOrig="2173" w14:anchorId="3DAF40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 style="width:124pt;height:70.65pt;mso-width-percent:0;mso-height-percent:0;mso-width-percent:0;mso-height-percent:0" o:ole="">
                  <v:imagedata r:id="rId9" o:title=""/>
                </v:shape>
                <o:OLEObject Type="Embed" ProgID="ChemDraw.Document.6.0" ShapeID="_x0000_i1031" DrawAspect="Content" ObjectID="_1617962167" r:id="rId10"/>
              </w:object>
            </w:r>
          </w:p>
        </w:tc>
        <w:tc>
          <w:tcPr>
            <w:tcW w:w="873" w:type="dxa"/>
            <w:vAlign w:val="center"/>
          </w:tcPr>
          <w:p w14:paraId="24BA9F0F" w14:textId="77777777" w:rsidR="00AE2F57" w:rsidRDefault="00AE2F57" w:rsidP="00057203">
            <w:pPr>
              <w:spacing w:line="480" w:lineRule="auto"/>
              <w:jc w:val="center"/>
              <w:rPr>
                <w:lang w:val="en-US"/>
              </w:rPr>
            </w:pPr>
            <w:r>
              <w:rPr>
                <w:lang w:val="en-US"/>
              </w:rPr>
              <w:t>1.8</w:t>
            </w:r>
          </w:p>
        </w:tc>
        <w:tc>
          <w:tcPr>
            <w:tcW w:w="1517" w:type="dxa"/>
            <w:vAlign w:val="center"/>
          </w:tcPr>
          <w:p w14:paraId="2674D94B" w14:textId="77777777" w:rsidR="00AE2F57" w:rsidRDefault="00AE2F57" w:rsidP="00057203">
            <w:pPr>
              <w:spacing w:line="480" w:lineRule="auto"/>
              <w:jc w:val="center"/>
              <w:rPr>
                <w:lang w:val="en-US"/>
              </w:rPr>
            </w:pPr>
            <w:r>
              <w:rPr>
                <w:lang w:val="en-US"/>
              </w:rPr>
              <w:t>-18.9</w:t>
            </w:r>
          </w:p>
        </w:tc>
        <w:tc>
          <w:tcPr>
            <w:tcW w:w="1517" w:type="dxa"/>
            <w:vAlign w:val="center"/>
          </w:tcPr>
          <w:p w14:paraId="6BC0D9BA" w14:textId="77777777" w:rsidR="00AE2F57" w:rsidRDefault="00AE2F57" w:rsidP="00057203">
            <w:pPr>
              <w:spacing w:line="480" w:lineRule="auto"/>
              <w:jc w:val="center"/>
              <w:rPr>
                <w:lang w:val="en-US"/>
              </w:rPr>
            </w:pPr>
            <w:r>
              <w:rPr>
                <w:lang w:val="en-US"/>
              </w:rPr>
              <w:t xml:space="preserve">108 µM </w:t>
            </w:r>
            <w:r>
              <w:rPr>
                <w:rFonts w:cstheme="minorHAnsi"/>
                <w:lang w:val="en-US"/>
              </w:rPr>
              <w:t>±</w:t>
            </w:r>
            <w:r>
              <w:rPr>
                <w:lang w:val="en-US"/>
              </w:rPr>
              <w:t xml:space="preserve"> 24 µM</w:t>
            </w:r>
          </w:p>
        </w:tc>
        <w:tc>
          <w:tcPr>
            <w:tcW w:w="1058" w:type="dxa"/>
            <w:vAlign w:val="center"/>
          </w:tcPr>
          <w:p w14:paraId="606D9959" w14:textId="77777777" w:rsidR="00AE2F57" w:rsidRDefault="00AE2F57" w:rsidP="00057203">
            <w:pPr>
              <w:spacing w:line="480" w:lineRule="auto"/>
              <w:jc w:val="center"/>
              <w:rPr>
                <w:lang w:val="en-US"/>
              </w:rPr>
            </w:pPr>
            <w:r>
              <w:rPr>
                <w:lang w:val="en-US"/>
              </w:rPr>
              <w:t>abcr</w:t>
            </w:r>
          </w:p>
        </w:tc>
        <w:tc>
          <w:tcPr>
            <w:tcW w:w="979" w:type="dxa"/>
            <w:vAlign w:val="center"/>
          </w:tcPr>
          <w:p w14:paraId="67A0D102" w14:textId="77777777" w:rsidR="00AE2F57" w:rsidRDefault="00AE2F57" w:rsidP="00057203">
            <w:pPr>
              <w:spacing w:line="480" w:lineRule="auto"/>
              <w:jc w:val="center"/>
              <w:rPr>
                <w:lang w:val="en-US"/>
              </w:rPr>
            </w:pPr>
            <w:r>
              <w:rPr>
                <w:lang w:val="en-US"/>
              </w:rPr>
              <w:t>98 %</w:t>
            </w:r>
          </w:p>
        </w:tc>
      </w:tr>
      <w:tr w:rsidR="00AE2F57" w14:paraId="26BA3D09" w14:textId="77777777" w:rsidTr="00AE2F57">
        <w:trPr>
          <w:trHeight w:val="567"/>
        </w:trPr>
        <w:tc>
          <w:tcPr>
            <w:tcW w:w="1255" w:type="dxa"/>
            <w:vAlign w:val="center"/>
          </w:tcPr>
          <w:p w14:paraId="6BEA3325" w14:textId="77777777" w:rsidR="00AE2F57" w:rsidRDefault="00AE2F57" w:rsidP="00057203">
            <w:pPr>
              <w:spacing w:line="480" w:lineRule="auto"/>
              <w:jc w:val="center"/>
              <w:rPr>
                <w:lang w:val="en-US"/>
              </w:rPr>
            </w:pPr>
            <w:r>
              <w:rPr>
                <w:lang w:val="en-US"/>
              </w:rPr>
              <w:t>B</w:t>
            </w:r>
          </w:p>
        </w:tc>
        <w:tc>
          <w:tcPr>
            <w:tcW w:w="1806" w:type="dxa"/>
            <w:vAlign w:val="center"/>
          </w:tcPr>
          <w:p w14:paraId="12B8F580" w14:textId="77777777" w:rsidR="00AE2F57" w:rsidRDefault="00AE2F57" w:rsidP="00057203">
            <w:pPr>
              <w:spacing w:line="480" w:lineRule="auto"/>
              <w:jc w:val="center"/>
              <w:rPr>
                <w:lang w:val="en-US"/>
              </w:rPr>
            </w:pPr>
            <w:r>
              <w:rPr>
                <w:lang w:val="en-US"/>
              </w:rPr>
              <w:t>L-isoserine</w:t>
            </w:r>
          </w:p>
        </w:tc>
        <w:tc>
          <w:tcPr>
            <w:tcW w:w="2666" w:type="dxa"/>
            <w:vAlign w:val="center"/>
          </w:tcPr>
          <w:p w14:paraId="5CAEE812" w14:textId="77777777" w:rsidR="00AE2F57" w:rsidRDefault="008956E5" w:rsidP="00057203">
            <w:pPr>
              <w:spacing w:line="480" w:lineRule="auto"/>
              <w:jc w:val="center"/>
              <w:rPr>
                <w:lang w:val="en-US"/>
              </w:rPr>
            </w:pPr>
            <w:r>
              <w:rPr>
                <w:noProof/>
              </w:rPr>
              <w:object w:dxaOrig="2450" w:dyaOrig="1137" w14:anchorId="2B31A022">
                <v:shape id="_x0000_i1030" type="#_x0000_t75" alt="" style="width:86.65pt;height:40pt;mso-width-percent:0;mso-height-percent:0;mso-width-percent:0;mso-height-percent:0" o:ole="">
                  <v:imagedata r:id="rId11" o:title=""/>
                </v:shape>
                <o:OLEObject Type="Embed" ProgID="ChemDraw.Document.6.0" ShapeID="_x0000_i1030" DrawAspect="Content" ObjectID="_1617962168" r:id="rId12"/>
              </w:object>
            </w:r>
          </w:p>
        </w:tc>
        <w:tc>
          <w:tcPr>
            <w:tcW w:w="873" w:type="dxa"/>
            <w:vAlign w:val="center"/>
          </w:tcPr>
          <w:p w14:paraId="3D09D9B3" w14:textId="77777777" w:rsidR="00AE2F57" w:rsidRDefault="00AE2F57" w:rsidP="00057203">
            <w:pPr>
              <w:spacing w:line="480" w:lineRule="auto"/>
              <w:jc w:val="center"/>
              <w:rPr>
                <w:lang w:val="en-US"/>
              </w:rPr>
            </w:pPr>
            <w:r>
              <w:rPr>
                <w:lang w:val="en-US"/>
              </w:rPr>
              <w:t>0.5</w:t>
            </w:r>
          </w:p>
        </w:tc>
        <w:tc>
          <w:tcPr>
            <w:tcW w:w="1517" w:type="dxa"/>
            <w:vAlign w:val="center"/>
          </w:tcPr>
          <w:p w14:paraId="3DF175BA" w14:textId="77777777" w:rsidR="00AE2F57" w:rsidRDefault="00AE2F57" w:rsidP="00057203">
            <w:pPr>
              <w:spacing w:line="480" w:lineRule="auto"/>
              <w:jc w:val="center"/>
              <w:rPr>
                <w:lang w:val="en-US"/>
              </w:rPr>
            </w:pPr>
            <w:r>
              <w:rPr>
                <w:lang w:val="en-US"/>
              </w:rPr>
              <w:t>-18.9</w:t>
            </w:r>
          </w:p>
        </w:tc>
        <w:tc>
          <w:tcPr>
            <w:tcW w:w="1517" w:type="dxa"/>
            <w:vAlign w:val="center"/>
          </w:tcPr>
          <w:p w14:paraId="733E4845" w14:textId="77777777" w:rsidR="00AE2F57" w:rsidRDefault="00AE2F57" w:rsidP="00057203">
            <w:pPr>
              <w:spacing w:line="480" w:lineRule="auto"/>
              <w:jc w:val="center"/>
              <w:rPr>
                <w:lang w:val="en-US"/>
              </w:rPr>
            </w:pPr>
            <w:r>
              <w:rPr>
                <w:lang w:val="en-US"/>
              </w:rPr>
              <w:t>No binding detected</w:t>
            </w:r>
          </w:p>
        </w:tc>
        <w:tc>
          <w:tcPr>
            <w:tcW w:w="1058" w:type="dxa"/>
            <w:vAlign w:val="center"/>
          </w:tcPr>
          <w:p w14:paraId="376767E4" w14:textId="77777777" w:rsidR="00AE2F57" w:rsidRDefault="00AE2F57" w:rsidP="00057203">
            <w:pPr>
              <w:spacing w:line="480" w:lineRule="auto"/>
              <w:jc w:val="center"/>
              <w:rPr>
                <w:lang w:val="en-US"/>
              </w:rPr>
            </w:pPr>
            <w:r>
              <w:rPr>
                <w:lang w:val="en-US"/>
              </w:rPr>
              <w:t>abcr</w:t>
            </w:r>
          </w:p>
        </w:tc>
        <w:tc>
          <w:tcPr>
            <w:tcW w:w="979" w:type="dxa"/>
            <w:vAlign w:val="center"/>
          </w:tcPr>
          <w:p w14:paraId="1509742A" w14:textId="77777777" w:rsidR="00AE2F57" w:rsidRDefault="00AE2F57" w:rsidP="00057203">
            <w:pPr>
              <w:spacing w:line="480" w:lineRule="auto"/>
              <w:jc w:val="center"/>
              <w:rPr>
                <w:lang w:val="en-US"/>
              </w:rPr>
            </w:pPr>
            <w:r>
              <w:rPr>
                <w:lang w:val="en-US"/>
              </w:rPr>
              <w:t>98 %</w:t>
            </w:r>
          </w:p>
        </w:tc>
      </w:tr>
      <w:tr w:rsidR="00AE2F57" w14:paraId="6F70B81C" w14:textId="77777777" w:rsidTr="00AE2F57">
        <w:trPr>
          <w:trHeight w:val="567"/>
        </w:trPr>
        <w:tc>
          <w:tcPr>
            <w:tcW w:w="1255" w:type="dxa"/>
            <w:vAlign w:val="center"/>
          </w:tcPr>
          <w:p w14:paraId="51C44A93" w14:textId="77777777" w:rsidR="00AE2F57" w:rsidRDefault="00AE2F57" w:rsidP="00057203">
            <w:pPr>
              <w:spacing w:line="480" w:lineRule="auto"/>
              <w:jc w:val="center"/>
              <w:rPr>
                <w:lang w:val="en-US"/>
              </w:rPr>
            </w:pPr>
            <w:r>
              <w:rPr>
                <w:lang w:val="en-US"/>
              </w:rPr>
              <w:t>C</w:t>
            </w:r>
          </w:p>
        </w:tc>
        <w:tc>
          <w:tcPr>
            <w:tcW w:w="1806" w:type="dxa"/>
            <w:vAlign w:val="center"/>
          </w:tcPr>
          <w:p w14:paraId="726DCE1A" w14:textId="77777777" w:rsidR="00AE2F57" w:rsidRPr="002B26C4" w:rsidRDefault="00AE2F57" w:rsidP="00057203">
            <w:pPr>
              <w:spacing w:line="480" w:lineRule="auto"/>
              <w:jc w:val="center"/>
              <w:rPr>
                <w:lang w:val="en-US"/>
              </w:rPr>
            </w:pPr>
            <w:r w:rsidRPr="002B26C4">
              <w:rPr>
                <w:lang w:val="en-US"/>
              </w:rPr>
              <w:t>(S)-4-Amino-3-</w:t>
            </w:r>
          </w:p>
          <w:p w14:paraId="7988C071" w14:textId="77777777" w:rsidR="00AE2F57" w:rsidRPr="002B26C4" w:rsidRDefault="00AE2F57" w:rsidP="00057203">
            <w:pPr>
              <w:spacing w:line="480" w:lineRule="auto"/>
              <w:jc w:val="center"/>
              <w:rPr>
                <w:lang w:val="en-US"/>
              </w:rPr>
            </w:pPr>
            <w:r w:rsidRPr="002B26C4">
              <w:rPr>
                <w:lang w:val="en-US"/>
              </w:rPr>
              <w:t>hydroxy-butyric</w:t>
            </w:r>
          </w:p>
          <w:p w14:paraId="0E4B98C7" w14:textId="77777777" w:rsidR="00AE2F57" w:rsidRDefault="00AE2F57" w:rsidP="00057203">
            <w:pPr>
              <w:spacing w:line="480" w:lineRule="auto"/>
              <w:jc w:val="center"/>
              <w:rPr>
                <w:lang w:val="en-US"/>
              </w:rPr>
            </w:pPr>
            <w:r w:rsidRPr="002B26C4">
              <w:rPr>
                <w:lang w:val="en-US"/>
              </w:rPr>
              <w:t>acid</w:t>
            </w:r>
          </w:p>
        </w:tc>
        <w:tc>
          <w:tcPr>
            <w:tcW w:w="2666" w:type="dxa"/>
            <w:vAlign w:val="center"/>
          </w:tcPr>
          <w:p w14:paraId="0530C929" w14:textId="77777777" w:rsidR="00AE2F57" w:rsidRDefault="008956E5" w:rsidP="00057203">
            <w:pPr>
              <w:spacing w:line="480" w:lineRule="auto"/>
              <w:jc w:val="center"/>
              <w:rPr>
                <w:lang w:val="en-US"/>
              </w:rPr>
            </w:pPr>
            <w:r>
              <w:rPr>
                <w:noProof/>
              </w:rPr>
              <w:object w:dxaOrig="2968" w:dyaOrig="1058" w14:anchorId="7AAC33BE">
                <v:shape id="_x0000_i1029" type="#_x0000_t75" alt="" style="width:111.35pt;height:40pt;mso-width-percent:0;mso-height-percent:0;mso-width-percent:0;mso-height-percent:0" o:ole="">
                  <v:imagedata r:id="rId13" o:title=""/>
                </v:shape>
                <o:OLEObject Type="Embed" ProgID="ChemDraw.Document.6.0" ShapeID="_x0000_i1029" DrawAspect="Content" ObjectID="_1617962169" r:id="rId14"/>
              </w:object>
            </w:r>
          </w:p>
        </w:tc>
        <w:tc>
          <w:tcPr>
            <w:tcW w:w="873" w:type="dxa"/>
            <w:vAlign w:val="center"/>
          </w:tcPr>
          <w:p w14:paraId="3BA1EC95" w14:textId="77777777" w:rsidR="00AE2F57" w:rsidRDefault="00AE2F57" w:rsidP="00057203">
            <w:pPr>
              <w:spacing w:line="480" w:lineRule="auto"/>
              <w:jc w:val="center"/>
              <w:rPr>
                <w:lang w:val="en-US"/>
              </w:rPr>
            </w:pPr>
            <w:r>
              <w:rPr>
                <w:lang w:val="en-US"/>
              </w:rPr>
              <w:t>0.4</w:t>
            </w:r>
          </w:p>
        </w:tc>
        <w:tc>
          <w:tcPr>
            <w:tcW w:w="1517" w:type="dxa"/>
            <w:vAlign w:val="center"/>
          </w:tcPr>
          <w:p w14:paraId="4DFDDCEE" w14:textId="77777777" w:rsidR="00AE2F57" w:rsidRDefault="00AE2F57" w:rsidP="00057203">
            <w:pPr>
              <w:spacing w:line="480" w:lineRule="auto"/>
              <w:jc w:val="center"/>
              <w:rPr>
                <w:lang w:val="en-US"/>
              </w:rPr>
            </w:pPr>
            <w:r>
              <w:rPr>
                <w:lang w:val="en-US"/>
              </w:rPr>
              <w:t>-19.0</w:t>
            </w:r>
          </w:p>
        </w:tc>
        <w:tc>
          <w:tcPr>
            <w:tcW w:w="1517" w:type="dxa"/>
            <w:vAlign w:val="center"/>
          </w:tcPr>
          <w:p w14:paraId="1F117745" w14:textId="77777777" w:rsidR="00AE2F57" w:rsidRDefault="00AE2F57" w:rsidP="00057203">
            <w:pPr>
              <w:spacing w:line="480" w:lineRule="auto"/>
              <w:jc w:val="center"/>
              <w:rPr>
                <w:lang w:val="en-US"/>
              </w:rPr>
            </w:pPr>
            <w:r>
              <w:rPr>
                <w:lang w:val="en-US"/>
              </w:rPr>
              <w:t>No binding detected</w:t>
            </w:r>
          </w:p>
        </w:tc>
        <w:tc>
          <w:tcPr>
            <w:tcW w:w="1058" w:type="dxa"/>
            <w:vAlign w:val="center"/>
          </w:tcPr>
          <w:p w14:paraId="7C195F9D" w14:textId="77777777" w:rsidR="00AE2F57" w:rsidRDefault="00AE2F57" w:rsidP="00057203">
            <w:pPr>
              <w:spacing w:line="480" w:lineRule="auto"/>
              <w:jc w:val="center"/>
              <w:rPr>
                <w:lang w:val="en-US"/>
              </w:rPr>
            </w:pPr>
            <w:r>
              <w:rPr>
                <w:lang w:val="en-US"/>
              </w:rPr>
              <w:t>Sigma-Aldrich</w:t>
            </w:r>
          </w:p>
        </w:tc>
        <w:tc>
          <w:tcPr>
            <w:tcW w:w="979" w:type="dxa"/>
            <w:vAlign w:val="center"/>
          </w:tcPr>
          <w:p w14:paraId="74760A29" w14:textId="77777777" w:rsidR="00AE2F57" w:rsidRDefault="00AE2F57" w:rsidP="00057203">
            <w:pPr>
              <w:spacing w:line="480" w:lineRule="auto"/>
              <w:jc w:val="center"/>
              <w:rPr>
                <w:lang w:val="en-US"/>
              </w:rPr>
            </w:pPr>
            <w:r>
              <w:rPr>
                <w:lang w:val="en-US"/>
              </w:rPr>
              <w:t>97 %</w:t>
            </w:r>
          </w:p>
        </w:tc>
      </w:tr>
      <w:tr w:rsidR="00AE2F57" w14:paraId="663B2677" w14:textId="77777777" w:rsidTr="00AE2F57">
        <w:trPr>
          <w:trHeight w:val="567"/>
        </w:trPr>
        <w:tc>
          <w:tcPr>
            <w:tcW w:w="1255" w:type="dxa"/>
            <w:vAlign w:val="center"/>
          </w:tcPr>
          <w:p w14:paraId="5253F5B1" w14:textId="77777777" w:rsidR="00AE2F57" w:rsidRDefault="00AE2F57" w:rsidP="00057203">
            <w:pPr>
              <w:spacing w:line="480" w:lineRule="auto"/>
              <w:jc w:val="center"/>
              <w:rPr>
                <w:lang w:val="en-US"/>
              </w:rPr>
            </w:pPr>
            <w:r>
              <w:rPr>
                <w:lang w:val="en-US"/>
              </w:rPr>
              <w:lastRenderedPageBreak/>
              <w:t>D</w:t>
            </w:r>
          </w:p>
        </w:tc>
        <w:tc>
          <w:tcPr>
            <w:tcW w:w="1806" w:type="dxa"/>
            <w:vAlign w:val="center"/>
          </w:tcPr>
          <w:p w14:paraId="7A057A50" w14:textId="77777777" w:rsidR="00AE2F57" w:rsidRPr="002B26C4" w:rsidRDefault="00AE2F57" w:rsidP="00057203">
            <w:pPr>
              <w:spacing w:line="480" w:lineRule="auto"/>
              <w:jc w:val="center"/>
              <w:rPr>
                <w:lang w:val="en-US"/>
              </w:rPr>
            </w:pPr>
            <w:r w:rsidRPr="002B26C4">
              <w:rPr>
                <w:lang w:val="en-US"/>
              </w:rPr>
              <w:t>D-(+)-Glucono-</w:t>
            </w:r>
          </w:p>
          <w:p w14:paraId="3F32484C" w14:textId="77777777" w:rsidR="00AE2F57" w:rsidRDefault="00AE2F57" w:rsidP="00057203">
            <w:pPr>
              <w:spacing w:line="480" w:lineRule="auto"/>
              <w:jc w:val="center"/>
              <w:rPr>
                <w:lang w:val="en-US"/>
              </w:rPr>
            </w:pPr>
            <w:r w:rsidRPr="002B26C4">
              <w:rPr>
                <w:lang w:val="en-US"/>
              </w:rPr>
              <w:t>1,5-lactone</w:t>
            </w:r>
          </w:p>
        </w:tc>
        <w:tc>
          <w:tcPr>
            <w:tcW w:w="2666" w:type="dxa"/>
            <w:vAlign w:val="center"/>
          </w:tcPr>
          <w:p w14:paraId="070C618E" w14:textId="77777777" w:rsidR="00AE2F57" w:rsidRDefault="008956E5" w:rsidP="00057203">
            <w:pPr>
              <w:spacing w:line="480" w:lineRule="auto"/>
              <w:jc w:val="center"/>
              <w:rPr>
                <w:lang w:val="en-US"/>
              </w:rPr>
            </w:pPr>
            <w:r>
              <w:rPr>
                <w:noProof/>
              </w:rPr>
              <w:object w:dxaOrig="2447" w:dyaOrig="2938" w14:anchorId="3EF4F399">
                <v:shape id="_x0000_i1028" type="#_x0000_t75" alt="" style="width:85.35pt;height:102pt;mso-width-percent:0;mso-height-percent:0;mso-width-percent:0;mso-height-percent:0" o:ole="">
                  <v:imagedata r:id="rId15" o:title=""/>
                </v:shape>
                <o:OLEObject Type="Embed" ProgID="ChemDraw.Document.6.0" ShapeID="_x0000_i1028" DrawAspect="Content" ObjectID="_1617962170" r:id="rId16"/>
              </w:object>
            </w:r>
          </w:p>
        </w:tc>
        <w:tc>
          <w:tcPr>
            <w:tcW w:w="873" w:type="dxa"/>
            <w:vAlign w:val="center"/>
          </w:tcPr>
          <w:p w14:paraId="0107452E" w14:textId="77777777" w:rsidR="00AE2F57" w:rsidRDefault="00AE2F57" w:rsidP="00057203">
            <w:pPr>
              <w:spacing w:line="480" w:lineRule="auto"/>
              <w:jc w:val="center"/>
              <w:rPr>
                <w:lang w:val="en-US"/>
              </w:rPr>
            </w:pPr>
            <w:r>
              <w:rPr>
                <w:lang w:val="en-US"/>
              </w:rPr>
              <w:t>-0.9</w:t>
            </w:r>
          </w:p>
        </w:tc>
        <w:tc>
          <w:tcPr>
            <w:tcW w:w="1517" w:type="dxa"/>
            <w:vAlign w:val="center"/>
          </w:tcPr>
          <w:p w14:paraId="0EF598DB" w14:textId="77777777" w:rsidR="00AE2F57" w:rsidRDefault="00AE2F57" w:rsidP="00057203">
            <w:pPr>
              <w:spacing w:line="480" w:lineRule="auto"/>
              <w:jc w:val="center"/>
              <w:rPr>
                <w:lang w:val="en-US"/>
              </w:rPr>
            </w:pPr>
            <w:r>
              <w:rPr>
                <w:lang w:val="en-US"/>
              </w:rPr>
              <w:t>-32.8</w:t>
            </w:r>
          </w:p>
        </w:tc>
        <w:tc>
          <w:tcPr>
            <w:tcW w:w="1517" w:type="dxa"/>
            <w:vAlign w:val="center"/>
          </w:tcPr>
          <w:p w14:paraId="7EF5C44D" w14:textId="77777777" w:rsidR="00AE2F57" w:rsidRDefault="00AE2F57" w:rsidP="00057203">
            <w:pPr>
              <w:spacing w:line="480" w:lineRule="auto"/>
              <w:jc w:val="center"/>
              <w:rPr>
                <w:lang w:val="en-US"/>
              </w:rPr>
            </w:pPr>
            <w:r>
              <w:rPr>
                <w:lang w:val="en-US"/>
              </w:rPr>
              <w:t>No binding detected</w:t>
            </w:r>
          </w:p>
        </w:tc>
        <w:tc>
          <w:tcPr>
            <w:tcW w:w="1058" w:type="dxa"/>
            <w:vAlign w:val="center"/>
          </w:tcPr>
          <w:p w14:paraId="3578B2E6" w14:textId="77777777" w:rsidR="00AE2F57" w:rsidRDefault="00AE2F57" w:rsidP="00057203">
            <w:pPr>
              <w:spacing w:line="480" w:lineRule="auto"/>
              <w:jc w:val="center"/>
              <w:rPr>
                <w:lang w:val="en-US"/>
              </w:rPr>
            </w:pPr>
            <w:r>
              <w:rPr>
                <w:lang w:val="en-US"/>
              </w:rPr>
              <w:t>Sigma-Aldrich</w:t>
            </w:r>
          </w:p>
        </w:tc>
        <w:tc>
          <w:tcPr>
            <w:tcW w:w="979" w:type="dxa"/>
            <w:vAlign w:val="center"/>
          </w:tcPr>
          <w:p w14:paraId="7273F998" w14:textId="77777777" w:rsidR="00AE2F57" w:rsidRDefault="00AE2F57" w:rsidP="00057203">
            <w:pPr>
              <w:spacing w:line="480" w:lineRule="auto"/>
              <w:jc w:val="center"/>
              <w:rPr>
                <w:lang w:val="en-US"/>
              </w:rPr>
            </w:pPr>
            <w:r>
              <w:rPr>
                <w:lang w:val="en-US"/>
              </w:rPr>
              <w:t>&gt;99 %</w:t>
            </w:r>
          </w:p>
        </w:tc>
      </w:tr>
      <w:tr w:rsidR="00AE2F57" w14:paraId="71A2BB2C" w14:textId="77777777" w:rsidTr="00AE2F57">
        <w:trPr>
          <w:trHeight w:val="567"/>
        </w:trPr>
        <w:tc>
          <w:tcPr>
            <w:tcW w:w="1255" w:type="dxa"/>
            <w:vAlign w:val="center"/>
          </w:tcPr>
          <w:p w14:paraId="063F92F4" w14:textId="77777777" w:rsidR="00AE2F57" w:rsidRDefault="00AE2F57" w:rsidP="00057203">
            <w:pPr>
              <w:spacing w:line="480" w:lineRule="auto"/>
              <w:jc w:val="center"/>
              <w:rPr>
                <w:lang w:val="en-US"/>
              </w:rPr>
            </w:pPr>
            <w:r>
              <w:rPr>
                <w:lang w:val="en-US"/>
              </w:rPr>
              <w:t>E</w:t>
            </w:r>
          </w:p>
        </w:tc>
        <w:tc>
          <w:tcPr>
            <w:tcW w:w="1806" w:type="dxa"/>
            <w:vAlign w:val="center"/>
          </w:tcPr>
          <w:p w14:paraId="4FF54772" w14:textId="77777777" w:rsidR="00AE2F57" w:rsidRPr="002B26C4" w:rsidRDefault="00AE2F57" w:rsidP="00057203">
            <w:pPr>
              <w:spacing w:line="480" w:lineRule="auto"/>
              <w:jc w:val="center"/>
              <w:rPr>
                <w:lang w:val="en-US"/>
              </w:rPr>
            </w:pPr>
            <w:r w:rsidRPr="002B26C4">
              <w:rPr>
                <w:lang w:val="en-US"/>
              </w:rPr>
              <w:t>L-(+)-Glutonic</w:t>
            </w:r>
          </w:p>
          <w:p w14:paraId="0FC2D215" w14:textId="77777777" w:rsidR="00AE2F57" w:rsidRDefault="00AE2F57" w:rsidP="00057203">
            <w:pPr>
              <w:spacing w:line="480" w:lineRule="auto"/>
              <w:jc w:val="center"/>
              <w:rPr>
                <w:lang w:val="en-US"/>
              </w:rPr>
            </w:pPr>
            <w:r w:rsidRPr="002B26C4">
              <w:rPr>
                <w:lang w:val="en-US"/>
              </w:rPr>
              <w:t>acid gammalactone</w:t>
            </w:r>
          </w:p>
        </w:tc>
        <w:tc>
          <w:tcPr>
            <w:tcW w:w="2666" w:type="dxa"/>
            <w:vAlign w:val="center"/>
          </w:tcPr>
          <w:p w14:paraId="40023829" w14:textId="77777777" w:rsidR="00AE2F57" w:rsidRDefault="008956E5" w:rsidP="00057203">
            <w:pPr>
              <w:spacing w:line="480" w:lineRule="auto"/>
              <w:jc w:val="center"/>
              <w:rPr>
                <w:lang w:val="en-US"/>
              </w:rPr>
            </w:pPr>
            <w:r>
              <w:rPr>
                <w:noProof/>
              </w:rPr>
              <w:object w:dxaOrig="3423" w:dyaOrig="1949" w14:anchorId="39039104">
                <v:shape id="_x0000_i1027" type="#_x0000_t75" alt="" style="width:120pt;height:68pt;mso-width-percent:0;mso-height-percent:0;mso-width-percent:0;mso-height-percent:0" o:ole="">
                  <v:imagedata r:id="rId17" o:title=""/>
                </v:shape>
                <o:OLEObject Type="Embed" ProgID="ChemDraw.Document.6.0" ShapeID="_x0000_i1027" DrawAspect="Content" ObjectID="_1617962171" r:id="rId18"/>
              </w:object>
            </w:r>
          </w:p>
        </w:tc>
        <w:tc>
          <w:tcPr>
            <w:tcW w:w="873" w:type="dxa"/>
            <w:vAlign w:val="center"/>
          </w:tcPr>
          <w:p w14:paraId="30315024" w14:textId="77777777" w:rsidR="00AE2F57" w:rsidRDefault="00AE2F57" w:rsidP="00057203">
            <w:pPr>
              <w:spacing w:line="480" w:lineRule="auto"/>
              <w:jc w:val="center"/>
              <w:rPr>
                <w:lang w:val="en-US"/>
              </w:rPr>
            </w:pPr>
            <w:r>
              <w:rPr>
                <w:lang w:val="en-US"/>
              </w:rPr>
              <w:t>-0.7</w:t>
            </w:r>
          </w:p>
        </w:tc>
        <w:tc>
          <w:tcPr>
            <w:tcW w:w="1517" w:type="dxa"/>
            <w:vAlign w:val="center"/>
          </w:tcPr>
          <w:p w14:paraId="6EDC4759" w14:textId="77777777" w:rsidR="00AE2F57" w:rsidRDefault="00AE2F57" w:rsidP="00057203">
            <w:pPr>
              <w:spacing w:line="480" w:lineRule="auto"/>
              <w:jc w:val="center"/>
              <w:rPr>
                <w:lang w:val="en-US"/>
              </w:rPr>
            </w:pPr>
            <w:r>
              <w:rPr>
                <w:lang w:val="en-US"/>
              </w:rPr>
              <w:t>-27.7</w:t>
            </w:r>
          </w:p>
        </w:tc>
        <w:tc>
          <w:tcPr>
            <w:tcW w:w="1517" w:type="dxa"/>
            <w:vAlign w:val="center"/>
          </w:tcPr>
          <w:p w14:paraId="13AA0C1C" w14:textId="77777777" w:rsidR="00AE2F57" w:rsidRDefault="00AE2F57" w:rsidP="00057203">
            <w:pPr>
              <w:spacing w:line="480" w:lineRule="auto"/>
              <w:jc w:val="center"/>
              <w:rPr>
                <w:lang w:val="en-US"/>
              </w:rPr>
            </w:pPr>
            <w:r>
              <w:rPr>
                <w:lang w:val="en-US"/>
              </w:rPr>
              <w:t>No binding detected</w:t>
            </w:r>
          </w:p>
        </w:tc>
        <w:tc>
          <w:tcPr>
            <w:tcW w:w="1058" w:type="dxa"/>
            <w:vAlign w:val="center"/>
          </w:tcPr>
          <w:p w14:paraId="7D9F3B80" w14:textId="77777777" w:rsidR="00AE2F57" w:rsidRDefault="00AE2F57" w:rsidP="00057203">
            <w:pPr>
              <w:spacing w:line="480" w:lineRule="auto"/>
              <w:jc w:val="center"/>
              <w:rPr>
                <w:lang w:val="en-US"/>
              </w:rPr>
            </w:pPr>
            <w:r>
              <w:rPr>
                <w:lang w:val="en-US"/>
              </w:rPr>
              <w:t>abcr</w:t>
            </w:r>
          </w:p>
        </w:tc>
        <w:tc>
          <w:tcPr>
            <w:tcW w:w="979" w:type="dxa"/>
            <w:vAlign w:val="center"/>
          </w:tcPr>
          <w:p w14:paraId="60BA9994" w14:textId="77777777" w:rsidR="00AE2F57" w:rsidRDefault="00AE2F57" w:rsidP="00057203">
            <w:pPr>
              <w:spacing w:line="480" w:lineRule="auto"/>
              <w:jc w:val="center"/>
              <w:rPr>
                <w:lang w:val="en-US"/>
              </w:rPr>
            </w:pPr>
            <w:r>
              <w:rPr>
                <w:lang w:val="en-US"/>
              </w:rPr>
              <w:t>98 %</w:t>
            </w:r>
          </w:p>
        </w:tc>
      </w:tr>
      <w:tr w:rsidR="00AE2F57" w14:paraId="25DCCFEB" w14:textId="77777777" w:rsidTr="00AE2F57">
        <w:trPr>
          <w:trHeight w:val="567"/>
        </w:trPr>
        <w:tc>
          <w:tcPr>
            <w:tcW w:w="1255" w:type="dxa"/>
            <w:vAlign w:val="center"/>
          </w:tcPr>
          <w:p w14:paraId="0AF38338" w14:textId="77777777" w:rsidR="00AE2F57" w:rsidRDefault="00AE2F57" w:rsidP="00057203">
            <w:pPr>
              <w:spacing w:line="480" w:lineRule="auto"/>
              <w:jc w:val="center"/>
              <w:rPr>
                <w:lang w:val="en-US"/>
              </w:rPr>
            </w:pPr>
          </w:p>
        </w:tc>
        <w:tc>
          <w:tcPr>
            <w:tcW w:w="1806" w:type="dxa"/>
            <w:vAlign w:val="center"/>
          </w:tcPr>
          <w:p w14:paraId="3AFDB51D" w14:textId="77777777" w:rsidR="00AE2F57" w:rsidRDefault="00AE2F57" w:rsidP="00057203">
            <w:pPr>
              <w:spacing w:line="480" w:lineRule="auto"/>
              <w:jc w:val="center"/>
              <w:rPr>
                <w:lang w:val="en-US"/>
              </w:rPr>
            </w:pPr>
            <w:r>
              <w:rPr>
                <w:lang w:val="en-US"/>
              </w:rPr>
              <w:t>L-arginine (K47275343 621)</w:t>
            </w:r>
          </w:p>
        </w:tc>
        <w:tc>
          <w:tcPr>
            <w:tcW w:w="2666" w:type="dxa"/>
            <w:vAlign w:val="center"/>
          </w:tcPr>
          <w:p w14:paraId="3219F519" w14:textId="77777777" w:rsidR="00AE2F57" w:rsidRDefault="008956E5" w:rsidP="00057203">
            <w:pPr>
              <w:spacing w:line="480" w:lineRule="auto"/>
              <w:jc w:val="center"/>
              <w:rPr>
                <w:lang w:val="en-US"/>
              </w:rPr>
            </w:pPr>
            <w:r>
              <w:rPr>
                <w:noProof/>
              </w:rPr>
              <w:object w:dxaOrig="2922" w:dyaOrig="3299" w14:anchorId="1AC71665">
                <v:shape id="_x0000_i1026" type="#_x0000_t75" alt="" style="width:90pt;height:100pt;mso-width-percent:0;mso-height-percent:0;mso-width-percent:0;mso-height-percent:0" o:ole="">
                  <v:imagedata r:id="rId19" o:title=""/>
                </v:shape>
                <o:OLEObject Type="Embed" ProgID="ChemDraw.Document.6.0" ShapeID="_x0000_i1026" DrawAspect="Content" ObjectID="_1617962172" r:id="rId20"/>
              </w:object>
            </w:r>
          </w:p>
        </w:tc>
        <w:tc>
          <w:tcPr>
            <w:tcW w:w="873" w:type="dxa"/>
            <w:vAlign w:val="center"/>
          </w:tcPr>
          <w:p w14:paraId="28DC9893" w14:textId="77777777" w:rsidR="00AE2F57" w:rsidRDefault="00AE2F57" w:rsidP="00057203">
            <w:pPr>
              <w:spacing w:line="480" w:lineRule="auto"/>
              <w:jc w:val="center"/>
              <w:rPr>
                <w:lang w:val="en-US"/>
              </w:rPr>
            </w:pPr>
            <w:r>
              <w:rPr>
                <w:lang w:val="en-US"/>
              </w:rPr>
              <w:t>N/A</w:t>
            </w:r>
          </w:p>
        </w:tc>
        <w:tc>
          <w:tcPr>
            <w:tcW w:w="1517" w:type="dxa"/>
            <w:vAlign w:val="center"/>
          </w:tcPr>
          <w:p w14:paraId="31D606BC" w14:textId="77777777" w:rsidR="00AE2F57" w:rsidRDefault="00AE2F57" w:rsidP="00057203">
            <w:pPr>
              <w:spacing w:line="480" w:lineRule="auto"/>
              <w:jc w:val="center"/>
              <w:rPr>
                <w:lang w:val="en-US"/>
              </w:rPr>
            </w:pPr>
            <w:r>
              <w:rPr>
                <w:lang w:val="en-US"/>
              </w:rPr>
              <w:t>N/A</w:t>
            </w:r>
          </w:p>
        </w:tc>
        <w:tc>
          <w:tcPr>
            <w:tcW w:w="1517" w:type="dxa"/>
            <w:vAlign w:val="center"/>
          </w:tcPr>
          <w:p w14:paraId="7ACD3123" w14:textId="77777777" w:rsidR="00AE2F57" w:rsidRDefault="00AE2F57" w:rsidP="00057203">
            <w:pPr>
              <w:spacing w:line="480" w:lineRule="auto"/>
              <w:jc w:val="center"/>
              <w:rPr>
                <w:lang w:val="en-US"/>
              </w:rPr>
            </w:pPr>
            <w:r>
              <w:rPr>
                <w:lang w:val="en-US"/>
              </w:rPr>
              <w:t xml:space="preserve">657 µM </w:t>
            </w:r>
            <w:r>
              <w:rPr>
                <w:rFonts w:cstheme="minorHAnsi"/>
                <w:lang w:val="en-US"/>
              </w:rPr>
              <w:t>±</w:t>
            </w:r>
            <w:r>
              <w:rPr>
                <w:lang w:val="en-US"/>
              </w:rPr>
              <w:t xml:space="preserve"> 211 µM</w:t>
            </w:r>
          </w:p>
        </w:tc>
        <w:tc>
          <w:tcPr>
            <w:tcW w:w="1058" w:type="dxa"/>
            <w:vAlign w:val="center"/>
          </w:tcPr>
          <w:p w14:paraId="2CE2F990" w14:textId="77777777" w:rsidR="00AE2F57" w:rsidRDefault="00AE2F57" w:rsidP="00057203">
            <w:pPr>
              <w:spacing w:line="480" w:lineRule="auto"/>
              <w:jc w:val="center"/>
              <w:rPr>
                <w:lang w:val="en-US"/>
              </w:rPr>
            </w:pPr>
            <w:r>
              <w:rPr>
                <w:lang w:val="en-US"/>
              </w:rPr>
              <w:t>Merck KGaA</w:t>
            </w:r>
          </w:p>
        </w:tc>
        <w:tc>
          <w:tcPr>
            <w:tcW w:w="979" w:type="dxa"/>
            <w:vAlign w:val="center"/>
          </w:tcPr>
          <w:p w14:paraId="1A8CC7E1" w14:textId="77777777" w:rsidR="00AE2F57" w:rsidRDefault="00AE2F57" w:rsidP="00057203">
            <w:pPr>
              <w:spacing w:line="480" w:lineRule="auto"/>
              <w:jc w:val="center"/>
              <w:rPr>
                <w:lang w:val="en-US"/>
              </w:rPr>
            </w:pPr>
            <w:r>
              <w:rPr>
                <w:lang w:val="en-US"/>
              </w:rPr>
              <w:t>&gt;98.5 %</w:t>
            </w:r>
          </w:p>
        </w:tc>
      </w:tr>
      <w:tr w:rsidR="00AE2F57" w14:paraId="7F2FEC98" w14:textId="77777777" w:rsidTr="00AE2F57">
        <w:trPr>
          <w:trHeight w:val="567"/>
        </w:trPr>
        <w:tc>
          <w:tcPr>
            <w:tcW w:w="1255" w:type="dxa"/>
            <w:vAlign w:val="center"/>
          </w:tcPr>
          <w:p w14:paraId="2321214C" w14:textId="77777777" w:rsidR="00AE2F57" w:rsidRDefault="00AE2F57" w:rsidP="00057203">
            <w:pPr>
              <w:spacing w:line="480" w:lineRule="auto"/>
              <w:jc w:val="center"/>
              <w:rPr>
                <w:lang w:val="en-US"/>
              </w:rPr>
            </w:pPr>
          </w:p>
        </w:tc>
        <w:tc>
          <w:tcPr>
            <w:tcW w:w="1806" w:type="dxa"/>
            <w:vAlign w:val="center"/>
          </w:tcPr>
          <w:p w14:paraId="4907198E" w14:textId="77777777" w:rsidR="00AE2F57" w:rsidRDefault="00AE2F57" w:rsidP="00057203">
            <w:pPr>
              <w:spacing w:line="480" w:lineRule="auto"/>
              <w:jc w:val="center"/>
              <w:rPr>
                <w:lang w:val="en-US"/>
              </w:rPr>
            </w:pPr>
            <w:r>
              <w:rPr>
                <w:lang w:val="en-US"/>
              </w:rPr>
              <w:t>D(+)-trehalose dihydrate</w:t>
            </w:r>
          </w:p>
        </w:tc>
        <w:tc>
          <w:tcPr>
            <w:tcW w:w="2666" w:type="dxa"/>
            <w:vAlign w:val="center"/>
          </w:tcPr>
          <w:p w14:paraId="306C3839" w14:textId="77777777" w:rsidR="00AE2F57" w:rsidRDefault="008956E5" w:rsidP="00057203">
            <w:pPr>
              <w:spacing w:line="480" w:lineRule="auto"/>
              <w:jc w:val="center"/>
              <w:rPr>
                <w:lang w:val="en-US"/>
              </w:rPr>
            </w:pPr>
            <w:r>
              <w:rPr>
                <w:noProof/>
              </w:rPr>
              <w:object w:dxaOrig="5189" w:dyaOrig="2938" w14:anchorId="552AD960">
                <v:shape id="_x0000_i1025" type="#_x0000_t75" alt="" style="width:126.65pt;height:1in;mso-width-percent:0;mso-height-percent:0;mso-width-percent:0;mso-height-percent:0" o:ole="">
                  <v:imagedata r:id="rId21" o:title=""/>
                </v:shape>
                <o:OLEObject Type="Embed" ProgID="ChemDraw.Document.6.0" ShapeID="_x0000_i1025" DrawAspect="Content" ObjectID="_1617962173" r:id="rId22"/>
              </w:object>
            </w:r>
          </w:p>
        </w:tc>
        <w:tc>
          <w:tcPr>
            <w:tcW w:w="873" w:type="dxa"/>
            <w:vAlign w:val="center"/>
          </w:tcPr>
          <w:p w14:paraId="42B5C22A" w14:textId="77777777" w:rsidR="00AE2F57" w:rsidRDefault="00AE2F57" w:rsidP="00057203">
            <w:pPr>
              <w:spacing w:line="480" w:lineRule="auto"/>
              <w:jc w:val="center"/>
              <w:rPr>
                <w:lang w:val="en-US"/>
              </w:rPr>
            </w:pPr>
            <w:r>
              <w:rPr>
                <w:lang w:val="en-US"/>
              </w:rPr>
              <w:t>N/A</w:t>
            </w:r>
          </w:p>
        </w:tc>
        <w:tc>
          <w:tcPr>
            <w:tcW w:w="1517" w:type="dxa"/>
            <w:vAlign w:val="center"/>
          </w:tcPr>
          <w:p w14:paraId="51E6AED5" w14:textId="77777777" w:rsidR="00AE2F57" w:rsidRDefault="00AE2F57" w:rsidP="00057203">
            <w:pPr>
              <w:spacing w:line="480" w:lineRule="auto"/>
              <w:jc w:val="center"/>
              <w:rPr>
                <w:lang w:val="en-US"/>
              </w:rPr>
            </w:pPr>
            <w:r>
              <w:rPr>
                <w:lang w:val="en-US"/>
              </w:rPr>
              <w:t>N/A</w:t>
            </w:r>
          </w:p>
        </w:tc>
        <w:tc>
          <w:tcPr>
            <w:tcW w:w="1517" w:type="dxa"/>
            <w:vAlign w:val="center"/>
          </w:tcPr>
          <w:p w14:paraId="19CDF899" w14:textId="77777777" w:rsidR="00AE2F57" w:rsidRDefault="00AE2F57" w:rsidP="00057203">
            <w:pPr>
              <w:spacing w:line="480" w:lineRule="auto"/>
              <w:jc w:val="center"/>
              <w:rPr>
                <w:lang w:val="en-US"/>
              </w:rPr>
            </w:pPr>
            <w:r>
              <w:rPr>
                <w:lang w:val="en-US"/>
              </w:rPr>
              <w:t>No binding detected</w:t>
            </w:r>
          </w:p>
        </w:tc>
        <w:tc>
          <w:tcPr>
            <w:tcW w:w="1058" w:type="dxa"/>
            <w:vAlign w:val="center"/>
          </w:tcPr>
          <w:p w14:paraId="0DC6C98C" w14:textId="77777777" w:rsidR="00AE2F57" w:rsidRDefault="00AE2F57" w:rsidP="00057203">
            <w:pPr>
              <w:spacing w:line="480" w:lineRule="auto"/>
              <w:jc w:val="center"/>
              <w:rPr>
                <w:lang w:val="en-US"/>
              </w:rPr>
            </w:pPr>
            <w:r>
              <w:rPr>
                <w:lang w:val="en-US"/>
              </w:rPr>
              <w:t>VWR</w:t>
            </w:r>
          </w:p>
        </w:tc>
        <w:tc>
          <w:tcPr>
            <w:tcW w:w="979" w:type="dxa"/>
            <w:vAlign w:val="center"/>
          </w:tcPr>
          <w:p w14:paraId="1E2EA9AC" w14:textId="77777777" w:rsidR="00AE2F57" w:rsidRDefault="00AE2F57" w:rsidP="00057203">
            <w:pPr>
              <w:spacing w:line="480" w:lineRule="auto"/>
              <w:jc w:val="center"/>
              <w:rPr>
                <w:lang w:val="en-US"/>
              </w:rPr>
            </w:pPr>
            <w:r>
              <w:rPr>
                <w:lang w:val="en-US"/>
              </w:rPr>
              <w:t>&gt;98 %</w:t>
            </w:r>
          </w:p>
        </w:tc>
      </w:tr>
    </w:tbl>
    <w:p w14:paraId="6C947D80" w14:textId="77777777" w:rsidR="00AE2F57" w:rsidRDefault="00AE2F57" w:rsidP="00AE2F57">
      <w:pPr>
        <w:spacing w:line="480" w:lineRule="auto"/>
        <w:jc w:val="both"/>
        <w:rPr>
          <w:lang w:val="en-US"/>
        </w:rPr>
        <w:sectPr w:rsidR="00AE2F57" w:rsidSect="00A609F4">
          <w:footerReference w:type="default" r:id="rId23"/>
          <w:pgSz w:w="16838" w:h="11906" w:orient="landscape"/>
          <w:pgMar w:top="1417" w:right="1417" w:bottom="1417" w:left="1134" w:header="708" w:footer="708" w:gutter="0"/>
          <w:cols w:space="708"/>
          <w:docGrid w:linePitch="360"/>
        </w:sectPr>
      </w:pPr>
    </w:p>
    <w:p w14:paraId="51477171" w14:textId="77777777" w:rsidR="00AE2F57" w:rsidRDefault="00AE2F57" w:rsidP="00A129E5">
      <w:pPr>
        <w:spacing w:line="480" w:lineRule="auto"/>
        <w:rPr>
          <w:b/>
          <w:lang w:val="en-US"/>
        </w:rPr>
      </w:pPr>
    </w:p>
    <w:p w14:paraId="270DD759" w14:textId="0DDFCA09" w:rsidR="00AE2F57" w:rsidRPr="00FB69AD" w:rsidRDefault="00AE2F57" w:rsidP="00AE2F57">
      <w:pPr>
        <w:pStyle w:val="Caption"/>
        <w:keepNext/>
        <w:spacing w:line="480" w:lineRule="auto"/>
        <w:jc w:val="center"/>
        <w:rPr>
          <w:lang w:val="en-US"/>
        </w:rPr>
      </w:pPr>
      <w:bookmarkStart w:id="5" w:name="_Ref530787107"/>
      <w:r w:rsidRPr="00FB69AD">
        <w:rPr>
          <w:lang w:val="en-US"/>
        </w:rPr>
        <w:t xml:space="preserve">Table </w:t>
      </w:r>
      <w:r>
        <w:rPr>
          <w:noProof/>
        </w:rPr>
        <w:fldChar w:fldCharType="begin"/>
      </w:r>
      <w:r w:rsidRPr="00FB69AD">
        <w:rPr>
          <w:noProof/>
          <w:lang w:val="en-US"/>
        </w:rPr>
        <w:instrText xml:space="preserve"> SEQ Table \* ARABIC </w:instrText>
      </w:r>
      <w:r>
        <w:rPr>
          <w:noProof/>
        </w:rPr>
        <w:fldChar w:fldCharType="separate"/>
      </w:r>
      <w:r w:rsidR="00941055">
        <w:rPr>
          <w:noProof/>
          <w:lang w:val="en-US"/>
        </w:rPr>
        <w:t>2</w:t>
      </w:r>
      <w:r>
        <w:rPr>
          <w:noProof/>
        </w:rPr>
        <w:fldChar w:fldCharType="end"/>
      </w:r>
      <w:bookmarkEnd w:id="5"/>
      <w:r w:rsidRPr="00FB69AD">
        <w:rPr>
          <w:lang w:val="en-US"/>
        </w:rPr>
        <w:t>: Surface pressure</w:t>
      </w:r>
      <w:r w:rsidR="00671BBC">
        <w:rPr>
          <w:lang w:val="en-US"/>
        </w:rPr>
        <w:t xml:space="preserve"> data for different excipients</w:t>
      </w:r>
      <w:r w:rsidRPr="00FB69AD">
        <w:rPr>
          <w:lang w:val="en-US"/>
        </w:rPr>
        <w:t>. Ex</w:t>
      </w:r>
      <w:r>
        <w:rPr>
          <w:lang w:val="en-US"/>
        </w:rPr>
        <w:t>c</w:t>
      </w:r>
      <w:r w:rsidRPr="00FB69AD">
        <w:rPr>
          <w:lang w:val="en-US"/>
        </w:rPr>
        <w:t>ipient c</w:t>
      </w:r>
      <w:r>
        <w:rPr>
          <w:lang w:val="en-US"/>
        </w:rPr>
        <w:t xml:space="preserve">oncentration </w:t>
      </w:r>
      <w:r w:rsidR="00671BBC">
        <w:rPr>
          <w:lang w:val="en-US"/>
        </w:rPr>
        <w:t xml:space="preserve">was </w:t>
      </w:r>
      <w:r>
        <w:rPr>
          <w:lang w:val="en-US"/>
        </w:rPr>
        <w:t>50 mM, except for Tween 20, for which it was 0.005%</w:t>
      </w:r>
      <w:r w:rsidR="00671BBC">
        <w:rPr>
          <w:lang w:val="en-US"/>
        </w:rPr>
        <w:t xml:space="preserve"> v/v</w:t>
      </w:r>
      <w:r>
        <w:rPr>
          <w:lang w:val="en-US"/>
        </w:rPr>
        <w:t>. All measurements were done twice. The error</w:t>
      </w:r>
      <w:r w:rsidR="00671BBC">
        <w:rPr>
          <w:lang w:val="en-US"/>
        </w:rPr>
        <w:t>s given correspond to</w:t>
      </w:r>
      <w:r>
        <w:rPr>
          <w:lang w:val="en-US"/>
        </w:rPr>
        <w:t xml:space="preserve"> the standard deviation</w:t>
      </w:r>
      <w:r w:rsidR="00671BBC">
        <w:rPr>
          <w:lang w:val="en-US"/>
        </w:rPr>
        <w:t>s</w:t>
      </w:r>
      <w:r>
        <w:rPr>
          <w:lang w:val="en-US"/>
        </w:rPr>
        <w:t>.</w:t>
      </w:r>
    </w:p>
    <w:tbl>
      <w:tblPr>
        <w:tblStyle w:val="GridTable2"/>
        <w:tblW w:w="6072" w:type="dxa"/>
        <w:jc w:val="center"/>
        <w:tblLook w:val="04A0" w:firstRow="1" w:lastRow="0" w:firstColumn="1" w:lastColumn="0" w:noHBand="0" w:noVBand="1"/>
      </w:tblPr>
      <w:tblGrid>
        <w:gridCol w:w="3222"/>
        <w:gridCol w:w="2850"/>
      </w:tblGrid>
      <w:tr w:rsidR="00AE2F57" w:rsidRPr="00D4716F" w14:paraId="53B317D7" w14:textId="77777777" w:rsidTr="00057203">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222" w:type="dxa"/>
            <w:vAlign w:val="center"/>
            <w:hideMark/>
          </w:tcPr>
          <w:p w14:paraId="590B294D" w14:textId="77777777" w:rsidR="00AE2F57" w:rsidRPr="00D4716F" w:rsidRDefault="00AE2F57" w:rsidP="00AE2F57">
            <w:pPr>
              <w:jc w:val="center"/>
              <w:rPr>
                <w:rFonts w:ascii="Calibri" w:eastAsia="Times New Roman" w:hAnsi="Calibri" w:cs="Calibri"/>
                <w:color w:val="000000"/>
                <w:lang w:val="en-US"/>
              </w:rPr>
            </w:pPr>
            <w:r>
              <w:rPr>
                <w:rFonts w:ascii="Calibri" w:eastAsia="Times New Roman" w:hAnsi="Calibri" w:cs="Calibri"/>
                <w:color w:val="000000"/>
                <w:lang w:val="en-US"/>
              </w:rPr>
              <w:t>Excipient</w:t>
            </w:r>
          </w:p>
        </w:tc>
        <w:tc>
          <w:tcPr>
            <w:tcW w:w="2850" w:type="dxa"/>
            <w:noWrap/>
            <w:vAlign w:val="center"/>
            <w:hideMark/>
          </w:tcPr>
          <w:p w14:paraId="1C3C631D" w14:textId="77777777" w:rsidR="00AE2F57" w:rsidRPr="00D4716F" w:rsidRDefault="00AE2F57" w:rsidP="00AE2F5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US"/>
              </w:rPr>
            </w:pPr>
            <w:r>
              <w:rPr>
                <w:rFonts w:ascii="Calibri" w:eastAsia="Times New Roman" w:hAnsi="Calibri" w:cs="Calibri"/>
                <w:color w:val="000000"/>
                <w:sz w:val="24"/>
                <w:szCs w:val="24"/>
                <w:lang w:val="en-US"/>
              </w:rPr>
              <w:t>Surface pressure</w:t>
            </w:r>
            <w:r w:rsidRPr="00D4716F">
              <w:rPr>
                <w:rFonts w:ascii="Calibri" w:eastAsia="Times New Roman" w:hAnsi="Calibri" w:cs="Calibri"/>
                <w:color w:val="000000"/>
                <w:sz w:val="24"/>
                <w:szCs w:val="24"/>
                <w:lang w:val="en-US"/>
              </w:rPr>
              <w:t xml:space="preserve"> (mN/m)</w:t>
            </w:r>
          </w:p>
        </w:tc>
      </w:tr>
      <w:tr w:rsidR="00AE2F57" w:rsidRPr="00D4716F" w14:paraId="075EBB08" w14:textId="77777777" w:rsidTr="0005720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222" w:type="dxa"/>
            <w:vAlign w:val="center"/>
            <w:hideMark/>
          </w:tcPr>
          <w:p w14:paraId="18A677D0" w14:textId="77777777" w:rsidR="00AE2F57" w:rsidRPr="00D4716F" w:rsidRDefault="00AE2F57" w:rsidP="00AE2F57">
            <w:pPr>
              <w:jc w:val="center"/>
              <w:rPr>
                <w:rFonts w:ascii="Calibri" w:eastAsia="Times New Roman" w:hAnsi="Calibri" w:cs="Calibri"/>
                <w:color w:val="000000"/>
                <w:lang w:val="en-US"/>
              </w:rPr>
            </w:pPr>
            <w:r>
              <w:rPr>
                <w:rFonts w:ascii="Calibri" w:eastAsia="Times New Roman" w:hAnsi="Calibri" w:cs="Calibri"/>
                <w:color w:val="000000"/>
                <w:lang w:val="en-US"/>
              </w:rPr>
              <w:t>Buffer</w:t>
            </w:r>
          </w:p>
        </w:tc>
        <w:tc>
          <w:tcPr>
            <w:tcW w:w="2850" w:type="dxa"/>
            <w:noWrap/>
            <w:vAlign w:val="center"/>
            <w:hideMark/>
          </w:tcPr>
          <w:p w14:paraId="454F1ED5" w14:textId="77777777" w:rsidR="00AE2F57" w:rsidRPr="00D4716F" w:rsidRDefault="00AE2F57" w:rsidP="00AE2F5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US"/>
              </w:rPr>
            </w:pPr>
            <w:r w:rsidRPr="00D4716F">
              <w:rPr>
                <w:rFonts w:ascii="Calibri" w:eastAsia="Times New Roman" w:hAnsi="Calibri" w:cs="Calibri"/>
                <w:color w:val="000000"/>
                <w:sz w:val="24"/>
                <w:szCs w:val="24"/>
                <w:lang w:val="en-US"/>
              </w:rPr>
              <w:t>1.7</w:t>
            </w:r>
            <w:r>
              <w:rPr>
                <w:rFonts w:ascii="Calibri" w:eastAsia="Times New Roman" w:hAnsi="Calibri" w:cs="Calibri"/>
                <w:color w:val="000000"/>
                <w:sz w:val="24"/>
                <w:szCs w:val="24"/>
                <w:lang w:val="en-US"/>
              </w:rPr>
              <w:t>±</w:t>
            </w:r>
            <w:r w:rsidRPr="00D4716F">
              <w:rPr>
                <w:rFonts w:ascii="Calibri" w:eastAsia="Times New Roman" w:hAnsi="Calibri" w:cs="Calibri"/>
                <w:color w:val="000000"/>
                <w:sz w:val="24"/>
                <w:szCs w:val="24"/>
                <w:lang w:val="en-US"/>
              </w:rPr>
              <w:t>0.2</w:t>
            </w:r>
          </w:p>
        </w:tc>
      </w:tr>
      <w:tr w:rsidR="00AE2F57" w:rsidRPr="00D4716F" w14:paraId="67D86E7A" w14:textId="77777777" w:rsidTr="00057203">
        <w:trPr>
          <w:trHeight w:val="315"/>
          <w:jc w:val="center"/>
        </w:trPr>
        <w:tc>
          <w:tcPr>
            <w:cnfStyle w:val="001000000000" w:firstRow="0" w:lastRow="0" w:firstColumn="1" w:lastColumn="0" w:oddVBand="0" w:evenVBand="0" w:oddHBand="0" w:evenHBand="0" w:firstRowFirstColumn="0" w:firstRowLastColumn="0" w:lastRowFirstColumn="0" w:lastRowLastColumn="0"/>
            <w:tcW w:w="3222" w:type="dxa"/>
            <w:vAlign w:val="center"/>
            <w:hideMark/>
          </w:tcPr>
          <w:p w14:paraId="5839D9BA" w14:textId="77777777" w:rsidR="00AE2F57" w:rsidRPr="00D4716F" w:rsidRDefault="00AE2F57" w:rsidP="00AE2F57">
            <w:pPr>
              <w:jc w:val="center"/>
              <w:rPr>
                <w:rFonts w:ascii="Calibri" w:eastAsia="Times New Roman" w:hAnsi="Calibri" w:cs="Calibri"/>
                <w:color w:val="000000"/>
                <w:lang w:val="en-US"/>
              </w:rPr>
            </w:pPr>
            <w:r w:rsidRPr="00D4716F">
              <w:rPr>
                <w:rFonts w:ascii="Calibri" w:eastAsia="Times New Roman" w:hAnsi="Calibri" w:cs="Calibri"/>
                <w:color w:val="000000"/>
                <w:lang w:val="en-US"/>
              </w:rPr>
              <w:t>NaCl</w:t>
            </w:r>
          </w:p>
        </w:tc>
        <w:tc>
          <w:tcPr>
            <w:tcW w:w="2850" w:type="dxa"/>
            <w:noWrap/>
            <w:vAlign w:val="center"/>
            <w:hideMark/>
          </w:tcPr>
          <w:p w14:paraId="3E629AC6" w14:textId="77777777" w:rsidR="00AE2F57" w:rsidRPr="00D4716F" w:rsidRDefault="00AE2F57" w:rsidP="00AE2F5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US"/>
              </w:rPr>
            </w:pPr>
            <w:r w:rsidRPr="00D4716F">
              <w:rPr>
                <w:rFonts w:ascii="Calibri" w:eastAsia="Times New Roman" w:hAnsi="Calibri" w:cs="Calibri"/>
                <w:color w:val="000000"/>
                <w:sz w:val="24"/>
                <w:szCs w:val="24"/>
                <w:lang w:val="en-US"/>
              </w:rPr>
              <w:t>1.7</w:t>
            </w:r>
            <w:r>
              <w:rPr>
                <w:rFonts w:ascii="Calibri" w:eastAsia="Times New Roman" w:hAnsi="Calibri" w:cs="Calibri"/>
                <w:color w:val="000000"/>
                <w:sz w:val="24"/>
                <w:szCs w:val="24"/>
                <w:lang w:val="en-US"/>
              </w:rPr>
              <w:t>±0</w:t>
            </w:r>
          </w:p>
        </w:tc>
      </w:tr>
      <w:tr w:rsidR="00AE2F57" w:rsidRPr="00D4716F" w14:paraId="5561A161" w14:textId="77777777" w:rsidTr="0005720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222" w:type="dxa"/>
            <w:vAlign w:val="center"/>
            <w:hideMark/>
          </w:tcPr>
          <w:p w14:paraId="75132246" w14:textId="77777777" w:rsidR="00AE2F57" w:rsidRPr="00D4716F" w:rsidRDefault="00AE2F57" w:rsidP="00AE2F57">
            <w:pPr>
              <w:jc w:val="center"/>
              <w:rPr>
                <w:rFonts w:ascii="Calibri" w:eastAsia="Times New Roman" w:hAnsi="Calibri" w:cs="Calibri"/>
                <w:color w:val="000000"/>
                <w:lang w:val="en-US"/>
              </w:rPr>
            </w:pPr>
            <w:r>
              <w:rPr>
                <w:rFonts w:ascii="Calibri" w:eastAsia="Times New Roman" w:hAnsi="Calibri" w:cs="Calibri"/>
                <w:color w:val="000000"/>
                <w:lang w:val="en-US"/>
              </w:rPr>
              <w:t>L-a</w:t>
            </w:r>
            <w:r w:rsidRPr="00D4716F">
              <w:rPr>
                <w:rFonts w:ascii="Calibri" w:eastAsia="Times New Roman" w:hAnsi="Calibri" w:cs="Calibri"/>
                <w:color w:val="000000"/>
                <w:lang w:val="en-US"/>
              </w:rPr>
              <w:t>rginine</w:t>
            </w:r>
          </w:p>
        </w:tc>
        <w:tc>
          <w:tcPr>
            <w:tcW w:w="2850" w:type="dxa"/>
            <w:noWrap/>
            <w:vAlign w:val="center"/>
            <w:hideMark/>
          </w:tcPr>
          <w:p w14:paraId="7A16BD1B" w14:textId="77777777" w:rsidR="00AE2F57" w:rsidRPr="00D4716F" w:rsidRDefault="00AE2F57" w:rsidP="00AE2F5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US"/>
              </w:rPr>
            </w:pPr>
            <w:r w:rsidRPr="00D4716F">
              <w:rPr>
                <w:rFonts w:ascii="Calibri" w:eastAsia="Times New Roman" w:hAnsi="Calibri" w:cs="Calibri"/>
                <w:color w:val="000000"/>
                <w:sz w:val="24"/>
                <w:szCs w:val="24"/>
                <w:lang w:val="en-US"/>
              </w:rPr>
              <w:t>3.25</w:t>
            </w:r>
            <w:r>
              <w:rPr>
                <w:rFonts w:ascii="Calibri" w:eastAsia="Times New Roman" w:hAnsi="Calibri" w:cs="Calibri"/>
                <w:color w:val="000000"/>
                <w:sz w:val="24"/>
                <w:szCs w:val="24"/>
                <w:lang w:val="en-US"/>
              </w:rPr>
              <w:t>±</w:t>
            </w:r>
            <w:r w:rsidRPr="00D4716F">
              <w:rPr>
                <w:rFonts w:ascii="Calibri" w:eastAsia="Times New Roman" w:hAnsi="Calibri" w:cs="Calibri"/>
                <w:color w:val="000000"/>
                <w:sz w:val="24"/>
                <w:szCs w:val="24"/>
                <w:lang w:val="en-US"/>
              </w:rPr>
              <w:t>0.15</w:t>
            </w:r>
          </w:p>
        </w:tc>
      </w:tr>
      <w:tr w:rsidR="00AE2F57" w:rsidRPr="00D4716F" w14:paraId="3A25716D" w14:textId="77777777" w:rsidTr="00057203">
        <w:trPr>
          <w:trHeight w:val="315"/>
          <w:jc w:val="center"/>
        </w:trPr>
        <w:tc>
          <w:tcPr>
            <w:cnfStyle w:val="001000000000" w:firstRow="0" w:lastRow="0" w:firstColumn="1" w:lastColumn="0" w:oddVBand="0" w:evenVBand="0" w:oddHBand="0" w:evenHBand="0" w:firstRowFirstColumn="0" w:firstRowLastColumn="0" w:lastRowFirstColumn="0" w:lastRowLastColumn="0"/>
            <w:tcW w:w="3222" w:type="dxa"/>
            <w:vAlign w:val="center"/>
            <w:hideMark/>
          </w:tcPr>
          <w:p w14:paraId="1D78E7B9" w14:textId="77777777" w:rsidR="00AE2F57" w:rsidRPr="00D4716F" w:rsidRDefault="00AE2F57" w:rsidP="00AE2F57">
            <w:pPr>
              <w:jc w:val="center"/>
              <w:rPr>
                <w:rFonts w:ascii="Calibri" w:eastAsia="Times New Roman" w:hAnsi="Calibri" w:cs="Calibri"/>
                <w:color w:val="000000"/>
                <w:lang w:val="en-US"/>
              </w:rPr>
            </w:pPr>
            <w:r>
              <w:rPr>
                <w:rFonts w:ascii="Calibri" w:eastAsia="Times New Roman" w:hAnsi="Calibri" w:cs="Calibri"/>
                <w:color w:val="000000"/>
                <w:lang w:val="en-US"/>
              </w:rPr>
              <w:t>D(+)-t</w:t>
            </w:r>
            <w:r w:rsidRPr="00D4716F">
              <w:rPr>
                <w:rFonts w:ascii="Calibri" w:eastAsia="Times New Roman" w:hAnsi="Calibri" w:cs="Calibri"/>
                <w:color w:val="000000"/>
                <w:lang w:val="en-US"/>
              </w:rPr>
              <w:t>rehalose</w:t>
            </w:r>
          </w:p>
        </w:tc>
        <w:tc>
          <w:tcPr>
            <w:tcW w:w="2850" w:type="dxa"/>
            <w:noWrap/>
            <w:vAlign w:val="center"/>
            <w:hideMark/>
          </w:tcPr>
          <w:p w14:paraId="425E63BF" w14:textId="77777777" w:rsidR="00AE2F57" w:rsidRPr="00D4716F" w:rsidRDefault="00AE2F57" w:rsidP="00AE2F5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US"/>
              </w:rPr>
            </w:pPr>
            <w:r w:rsidRPr="00D4716F">
              <w:rPr>
                <w:rFonts w:ascii="Calibri" w:eastAsia="Times New Roman" w:hAnsi="Calibri" w:cs="Calibri"/>
                <w:color w:val="000000"/>
                <w:sz w:val="24"/>
                <w:szCs w:val="24"/>
                <w:lang w:val="en-US"/>
              </w:rPr>
              <w:t>2.1</w:t>
            </w:r>
            <w:r>
              <w:rPr>
                <w:rFonts w:ascii="Calibri" w:eastAsia="Times New Roman" w:hAnsi="Calibri" w:cs="Calibri"/>
                <w:color w:val="000000"/>
                <w:sz w:val="24"/>
                <w:szCs w:val="24"/>
                <w:lang w:val="en-US"/>
              </w:rPr>
              <w:t>±</w:t>
            </w:r>
            <w:r w:rsidRPr="00D4716F">
              <w:rPr>
                <w:rFonts w:ascii="Calibri" w:eastAsia="Times New Roman" w:hAnsi="Calibri" w:cs="Calibri"/>
                <w:color w:val="000000"/>
                <w:sz w:val="24"/>
                <w:szCs w:val="24"/>
                <w:lang w:val="en-US"/>
              </w:rPr>
              <w:t>1.6</w:t>
            </w:r>
          </w:p>
        </w:tc>
      </w:tr>
      <w:tr w:rsidR="00AE2F57" w:rsidRPr="00D4716F" w14:paraId="2528BFFB" w14:textId="77777777" w:rsidTr="0005720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222" w:type="dxa"/>
            <w:vAlign w:val="center"/>
            <w:hideMark/>
          </w:tcPr>
          <w:p w14:paraId="497D30AC" w14:textId="77777777" w:rsidR="00AE2F57" w:rsidRPr="00D4716F" w:rsidRDefault="00AE2F57" w:rsidP="00AE2F57">
            <w:pPr>
              <w:jc w:val="center"/>
              <w:rPr>
                <w:rFonts w:ascii="Calibri" w:eastAsia="Times New Roman" w:hAnsi="Calibri" w:cs="Calibri"/>
                <w:color w:val="000000"/>
                <w:lang w:val="en-US"/>
              </w:rPr>
            </w:pPr>
            <w:r w:rsidRPr="00D4716F">
              <w:rPr>
                <w:rFonts w:ascii="Calibri" w:eastAsia="Times New Roman" w:hAnsi="Calibri" w:cs="Calibri"/>
                <w:color w:val="000000"/>
                <w:lang w:val="en-US"/>
              </w:rPr>
              <w:t>Glycerol</w:t>
            </w:r>
          </w:p>
        </w:tc>
        <w:tc>
          <w:tcPr>
            <w:tcW w:w="2850" w:type="dxa"/>
            <w:noWrap/>
            <w:vAlign w:val="center"/>
            <w:hideMark/>
          </w:tcPr>
          <w:p w14:paraId="62C11AA9" w14:textId="77777777" w:rsidR="00AE2F57" w:rsidRPr="00D4716F" w:rsidRDefault="00AE2F57" w:rsidP="00AE2F5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US"/>
              </w:rPr>
            </w:pPr>
            <w:r w:rsidRPr="00D4716F">
              <w:rPr>
                <w:rFonts w:ascii="Calibri" w:eastAsia="Times New Roman" w:hAnsi="Calibri" w:cs="Calibri"/>
                <w:color w:val="000000"/>
                <w:sz w:val="24"/>
                <w:szCs w:val="24"/>
                <w:lang w:val="en-US"/>
              </w:rPr>
              <w:t>4.75</w:t>
            </w:r>
            <w:r>
              <w:rPr>
                <w:rFonts w:ascii="Calibri" w:eastAsia="Times New Roman" w:hAnsi="Calibri" w:cs="Calibri"/>
                <w:color w:val="000000"/>
                <w:sz w:val="24"/>
                <w:szCs w:val="24"/>
                <w:lang w:val="en-US"/>
              </w:rPr>
              <w:t>±</w:t>
            </w:r>
            <w:r w:rsidRPr="00D4716F">
              <w:rPr>
                <w:rFonts w:ascii="Calibri" w:eastAsia="Times New Roman" w:hAnsi="Calibri" w:cs="Calibri"/>
                <w:color w:val="000000"/>
                <w:sz w:val="24"/>
                <w:szCs w:val="24"/>
                <w:lang w:val="en-US"/>
              </w:rPr>
              <w:t>0.95</w:t>
            </w:r>
          </w:p>
        </w:tc>
      </w:tr>
      <w:tr w:rsidR="00AE2F57" w:rsidRPr="00D4716F" w14:paraId="7C182061" w14:textId="77777777" w:rsidTr="00057203">
        <w:trPr>
          <w:trHeight w:val="315"/>
          <w:jc w:val="center"/>
        </w:trPr>
        <w:tc>
          <w:tcPr>
            <w:cnfStyle w:val="001000000000" w:firstRow="0" w:lastRow="0" w:firstColumn="1" w:lastColumn="0" w:oddVBand="0" w:evenVBand="0" w:oddHBand="0" w:evenHBand="0" w:firstRowFirstColumn="0" w:firstRowLastColumn="0" w:lastRowFirstColumn="0" w:lastRowLastColumn="0"/>
            <w:tcW w:w="3222" w:type="dxa"/>
            <w:vAlign w:val="center"/>
            <w:hideMark/>
          </w:tcPr>
          <w:p w14:paraId="2759B9F5" w14:textId="77777777" w:rsidR="00AE2F57" w:rsidRPr="00D4716F" w:rsidRDefault="00AE2F57" w:rsidP="00AE2F57">
            <w:pPr>
              <w:jc w:val="center"/>
              <w:rPr>
                <w:rFonts w:ascii="Calibri" w:eastAsia="Times New Roman" w:hAnsi="Calibri" w:cs="Calibri"/>
                <w:color w:val="000000"/>
                <w:lang w:val="en-US"/>
              </w:rPr>
            </w:pPr>
            <w:r>
              <w:rPr>
                <w:rFonts w:ascii="Calibri" w:eastAsia="Times New Roman" w:hAnsi="Calibri" w:cs="Calibri"/>
                <w:color w:val="000000"/>
                <w:lang w:val="en-US"/>
              </w:rPr>
              <w:t>Polysorbate</w:t>
            </w:r>
            <w:r w:rsidRPr="00D4716F">
              <w:rPr>
                <w:rFonts w:ascii="Calibri" w:eastAsia="Times New Roman" w:hAnsi="Calibri" w:cs="Calibri"/>
                <w:color w:val="000000"/>
                <w:lang w:val="en-US"/>
              </w:rPr>
              <w:t xml:space="preserve"> 20 [0.005%]</w:t>
            </w:r>
          </w:p>
        </w:tc>
        <w:tc>
          <w:tcPr>
            <w:tcW w:w="2850" w:type="dxa"/>
            <w:noWrap/>
            <w:vAlign w:val="center"/>
            <w:hideMark/>
          </w:tcPr>
          <w:p w14:paraId="383FA134" w14:textId="77777777" w:rsidR="00AE2F57" w:rsidRPr="00D4716F" w:rsidRDefault="00AE2F57" w:rsidP="00AE2F5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US"/>
              </w:rPr>
            </w:pPr>
            <w:r w:rsidRPr="00D4716F">
              <w:rPr>
                <w:rFonts w:ascii="Calibri" w:eastAsia="Times New Roman" w:hAnsi="Calibri" w:cs="Calibri"/>
                <w:color w:val="000000"/>
                <w:sz w:val="24"/>
                <w:szCs w:val="24"/>
                <w:lang w:val="en-US"/>
              </w:rPr>
              <w:t>34.7</w:t>
            </w:r>
            <w:r>
              <w:rPr>
                <w:rFonts w:ascii="Calibri" w:eastAsia="Times New Roman" w:hAnsi="Calibri" w:cs="Calibri"/>
                <w:color w:val="000000"/>
                <w:sz w:val="24"/>
                <w:szCs w:val="24"/>
                <w:lang w:val="en-US"/>
              </w:rPr>
              <w:t>±1</w:t>
            </w:r>
          </w:p>
        </w:tc>
      </w:tr>
      <w:tr w:rsidR="00AE2F57" w:rsidRPr="00D4716F" w14:paraId="72C3589A" w14:textId="77777777" w:rsidTr="0005720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222" w:type="dxa"/>
            <w:vAlign w:val="center"/>
            <w:hideMark/>
          </w:tcPr>
          <w:p w14:paraId="449F16EF" w14:textId="6C6CE6C8" w:rsidR="00AE2F57" w:rsidRPr="00D4716F" w:rsidRDefault="00671BBC" w:rsidP="00AE2F57">
            <w:pPr>
              <w:jc w:val="center"/>
              <w:rPr>
                <w:rFonts w:ascii="Calibri" w:eastAsia="Times New Roman" w:hAnsi="Calibri" w:cs="Calibri"/>
                <w:color w:val="000000"/>
                <w:lang w:val="en-US"/>
              </w:rPr>
            </w:pPr>
            <w:r>
              <w:rPr>
                <w:rFonts w:ascii="Calibri" w:eastAsia="Times New Roman" w:hAnsi="Calibri" w:cs="Calibri"/>
                <w:color w:val="000000"/>
                <w:lang w:val="en-US"/>
              </w:rPr>
              <w:t xml:space="preserve">Compound </w:t>
            </w:r>
            <w:r w:rsidR="00AE2F57">
              <w:rPr>
                <w:rFonts w:ascii="Calibri" w:eastAsia="Times New Roman" w:hAnsi="Calibri" w:cs="Calibri"/>
                <w:color w:val="000000"/>
                <w:lang w:val="en-US"/>
              </w:rPr>
              <w:t>A</w:t>
            </w:r>
          </w:p>
        </w:tc>
        <w:tc>
          <w:tcPr>
            <w:tcW w:w="2850" w:type="dxa"/>
            <w:noWrap/>
            <w:vAlign w:val="center"/>
            <w:hideMark/>
          </w:tcPr>
          <w:p w14:paraId="263FA5AB" w14:textId="77777777" w:rsidR="00AE2F57" w:rsidRPr="00D4716F" w:rsidRDefault="00AE2F57" w:rsidP="00AE2F5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US"/>
              </w:rPr>
            </w:pPr>
            <w:r w:rsidRPr="00D4716F">
              <w:rPr>
                <w:rFonts w:ascii="Calibri" w:eastAsia="Times New Roman" w:hAnsi="Calibri" w:cs="Calibri"/>
                <w:color w:val="000000"/>
                <w:sz w:val="24"/>
                <w:szCs w:val="24"/>
                <w:lang w:val="en-US"/>
              </w:rPr>
              <w:t>9</w:t>
            </w:r>
            <w:r>
              <w:rPr>
                <w:rFonts w:ascii="Calibri" w:eastAsia="Times New Roman" w:hAnsi="Calibri" w:cs="Calibri"/>
                <w:color w:val="000000"/>
                <w:sz w:val="24"/>
                <w:szCs w:val="24"/>
                <w:lang w:val="en-US"/>
              </w:rPr>
              <w:t>.0±</w:t>
            </w:r>
            <w:r w:rsidRPr="00D4716F">
              <w:rPr>
                <w:rFonts w:ascii="Calibri" w:eastAsia="Times New Roman" w:hAnsi="Calibri" w:cs="Calibri"/>
                <w:color w:val="000000"/>
                <w:sz w:val="24"/>
                <w:szCs w:val="24"/>
                <w:lang w:val="en-US"/>
              </w:rPr>
              <w:t>0.5</w:t>
            </w:r>
          </w:p>
        </w:tc>
      </w:tr>
    </w:tbl>
    <w:p w14:paraId="2FDC0739" w14:textId="67A4E830" w:rsidR="00AE2F57" w:rsidRDefault="00AE2F57" w:rsidP="00A129E5">
      <w:pPr>
        <w:spacing w:line="480" w:lineRule="auto"/>
        <w:rPr>
          <w:b/>
          <w:lang w:val="en-US"/>
        </w:rPr>
      </w:pPr>
    </w:p>
    <w:p w14:paraId="3C6C62A3" w14:textId="126029D2" w:rsidR="00AE2F57" w:rsidRDefault="00F13BDE" w:rsidP="00A129E5">
      <w:pPr>
        <w:spacing w:line="480" w:lineRule="auto"/>
        <w:rPr>
          <w:b/>
          <w:lang w:val="en-US"/>
        </w:rPr>
      </w:pPr>
      <w:r>
        <w:rPr>
          <w:b/>
          <w:lang w:val="en-US"/>
        </w:rPr>
        <w:t>Figures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9"/>
        <w:gridCol w:w="2613"/>
      </w:tblGrid>
      <w:tr w:rsidR="00490EE9" w:rsidRPr="005F3AD2" w14:paraId="5E6635A7" w14:textId="77777777" w:rsidTr="00490EE9">
        <w:tc>
          <w:tcPr>
            <w:tcW w:w="4531" w:type="dxa"/>
            <w:vAlign w:val="center"/>
          </w:tcPr>
          <w:p w14:paraId="161632DF" w14:textId="12254387" w:rsidR="00490EE9" w:rsidRPr="00490EE9" w:rsidRDefault="00490EE9" w:rsidP="00057203">
            <w:pPr>
              <w:spacing w:line="480" w:lineRule="auto"/>
              <w:jc w:val="center"/>
              <w:rPr>
                <w:b/>
                <w:noProof/>
                <w:lang w:val="en-US"/>
              </w:rPr>
            </w:pPr>
            <w:r w:rsidRPr="00490EE9">
              <w:rPr>
                <w:b/>
                <w:noProof/>
                <w:lang w:val="en-US"/>
              </w:rPr>
              <w:t>a</w:t>
            </w:r>
          </w:p>
        </w:tc>
        <w:tc>
          <w:tcPr>
            <w:tcW w:w="4531" w:type="dxa"/>
            <w:vAlign w:val="center"/>
          </w:tcPr>
          <w:p w14:paraId="6CAA5AB1" w14:textId="3A9C4F2F" w:rsidR="00490EE9" w:rsidRPr="00490EE9" w:rsidRDefault="00490EE9" w:rsidP="00057203">
            <w:pPr>
              <w:keepNext/>
              <w:spacing w:line="480" w:lineRule="auto"/>
              <w:jc w:val="center"/>
              <w:rPr>
                <w:b/>
                <w:noProof/>
                <w:lang w:val="en-US"/>
              </w:rPr>
            </w:pPr>
            <w:r w:rsidRPr="00490EE9">
              <w:rPr>
                <w:b/>
                <w:noProof/>
                <w:lang w:val="en-US"/>
              </w:rPr>
              <w:t>b</w:t>
            </w:r>
          </w:p>
        </w:tc>
      </w:tr>
      <w:tr w:rsidR="00F13BDE" w:rsidRPr="005F3AD2" w14:paraId="41585327" w14:textId="77777777" w:rsidTr="00490EE9">
        <w:tc>
          <w:tcPr>
            <w:tcW w:w="4531" w:type="dxa"/>
            <w:vAlign w:val="center"/>
          </w:tcPr>
          <w:p w14:paraId="0F1D15AF" w14:textId="77777777" w:rsidR="00F13BDE" w:rsidRDefault="00F13BDE" w:rsidP="00057203">
            <w:pPr>
              <w:spacing w:line="480" w:lineRule="auto"/>
              <w:jc w:val="center"/>
              <w:rPr>
                <w:lang w:val="en-US"/>
              </w:rPr>
            </w:pPr>
            <w:r>
              <w:rPr>
                <w:noProof/>
                <w:lang w:val="en-US"/>
              </w:rPr>
              <mc:AlternateContent>
                <mc:Choice Requires="wps">
                  <w:drawing>
                    <wp:anchor distT="0" distB="0" distL="114300" distR="114300" simplePos="0" relativeHeight="251686912" behindDoc="0" locked="0" layoutInCell="1" allowOverlap="1" wp14:anchorId="27BBB536" wp14:editId="67239EF9">
                      <wp:simplePos x="0" y="0"/>
                      <wp:positionH relativeFrom="column">
                        <wp:posOffset>795020</wp:posOffset>
                      </wp:positionH>
                      <wp:positionV relativeFrom="paragraph">
                        <wp:posOffset>48895</wp:posOffset>
                      </wp:positionV>
                      <wp:extent cx="244475" cy="265430"/>
                      <wp:effectExtent l="0" t="0" r="22225" b="20320"/>
                      <wp:wrapNone/>
                      <wp:docPr id="5" name="Oval 5"/>
                      <wp:cNvGraphicFramePr/>
                      <a:graphic xmlns:a="http://schemas.openxmlformats.org/drawingml/2006/main">
                        <a:graphicData uri="http://schemas.microsoft.com/office/word/2010/wordprocessingShape">
                          <wps:wsp>
                            <wps:cNvSpPr/>
                            <wps:spPr>
                              <a:xfrm>
                                <a:off x="0" y="0"/>
                                <a:ext cx="244475" cy="2654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D8BCDA" id="Oval 5" o:spid="_x0000_s1026" style="position:absolute;margin-left:62.6pt;margin-top:3.85pt;width:19.25pt;height:20.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" filled="f" strokecolor="red" strokeweight="1pt">
                      <v:stroke joinstyle="miter"/>
                    </v:oval>
                  </w:pict>
                </mc:Fallback>
              </mc:AlternateContent>
            </w:r>
            <w:r>
              <w:rPr>
                <w:noProof/>
                <w:lang w:val="en-US"/>
              </w:rPr>
              <w:drawing>
                <wp:inline distT="0" distB="0" distL="0" distR="0" wp14:anchorId="5C96A5CD" wp14:editId="1A63802B">
                  <wp:extent cx="3968960" cy="1981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74359" cy="1983895"/>
                          </a:xfrm>
                          <a:prstGeom prst="rect">
                            <a:avLst/>
                          </a:prstGeom>
                          <a:noFill/>
                          <a:ln>
                            <a:noFill/>
                          </a:ln>
                        </pic:spPr>
                      </pic:pic>
                    </a:graphicData>
                  </a:graphic>
                </wp:inline>
              </w:drawing>
            </w:r>
          </w:p>
        </w:tc>
        <w:tc>
          <w:tcPr>
            <w:tcW w:w="4531" w:type="dxa"/>
            <w:vAlign w:val="center"/>
          </w:tcPr>
          <w:p w14:paraId="69D5923E" w14:textId="77777777" w:rsidR="00F13BDE" w:rsidRDefault="00F13BDE" w:rsidP="00057203">
            <w:pPr>
              <w:keepNext/>
              <w:spacing w:line="480" w:lineRule="auto"/>
              <w:jc w:val="center"/>
              <w:rPr>
                <w:lang w:val="en-US"/>
              </w:rPr>
            </w:pPr>
            <w:r>
              <w:rPr>
                <w:noProof/>
                <w:lang w:val="en-US"/>
              </w:rPr>
              <w:drawing>
                <wp:inline distT="0" distB="0" distL="0" distR="0" wp14:anchorId="7638AB2A" wp14:editId="770B5747">
                  <wp:extent cx="1522580" cy="138112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2478" t="6591" r="13009" b="17808"/>
                          <a:stretch/>
                        </pic:blipFill>
                        <pic:spPr bwMode="auto">
                          <a:xfrm>
                            <a:off x="0" y="0"/>
                            <a:ext cx="1537570" cy="139472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47AD7F5" w14:textId="64BA3979" w:rsidR="00F13BDE" w:rsidRDefault="00F13BDE" w:rsidP="00F13BDE">
      <w:pPr>
        <w:pStyle w:val="Caption"/>
        <w:spacing w:line="480" w:lineRule="auto"/>
        <w:rPr>
          <w:lang w:val="en-US"/>
        </w:rPr>
      </w:pPr>
      <w:bookmarkStart w:id="6" w:name="_Ref510873761"/>
      <w:r w:rsidRPr="00703A3E">
        <w:rPr>
          <w:lang w:val="en-US"/>
        </w:rPr>
        <w:t xml:space="preserve">Figure </w:t>
      </w:r>
      <w:r>
        <w:fldChar w:fldCharType="begin"/>
      </w:r>
      <w:r w:rsidRPr="00703A3E">
        <w:rPr>
          <w:lang w:val="en-US"/>
        </w:rPr>
        <w:instrText xml:space="preserve"> SEQ Figure \* ARABIC </w:instrText>
      </w:r>
      <w:r>
        <w:fldChar w:fldCharType="separate"/>
      </w:r>
      <w:r w:rsidR="00941055">
        <w:rPr>
          <w:noProof/>
          <w:lang w:val="en-US"/>
        </w:rPr>
        <w:t>1</w:t>
      </w:r>
      <w:r>
        <w:fldChar w:fldCharType="end"/>
      </w:r>
      <w:bookmarkEnd w:id="6"/>
      <w:r w:rsidRPr="00703A3E">
        <w:rPr>
          <w:lang w:val="en-US"/>
        </w:rPr>
        <w:t xml:space="preserve">: </w:t>
      </w:r>
      <w:r w:rsidR="00671BBC" w:rsidRPr="00671BBC">
        <w:rPr>
          <w:b/>
          <w:lang w:val="en-US"/>
        </w:rPr>
        <w:t>a</w:t>
      </w:r>
      <w:r>
        <w:rPr>
          <w:lang w:val="en-US"/>
        </w:rPr>
        <w:t>: Residual aggregation propensity determined using Aggrescan3D</w:t>
      </w:r>
      <w:r w:rsidR="00671BBC">
        <w:rPr>
          <w:lang w:val="en-US"/>
        </w:rPr>
        <w:t>.</w:t>
      </w:r>
      <w:r>
        <w:rPr>
          <w:lang w:val="en-US"/>
        </w:rPr>
        <w:t xml:space="preserve"> </w:t>
      </w:r>
      <w:r w:rsidR="00671BBC">
        <w:rPr>
          <w:lang w:val="en-US"/>
        </w:rPr>
        <w:t>H</w:t>
      </w:r>
      <w:r>
        <w:rPr>
          <w:lang w:val="en-US"/>
        </w:rPr>
        <w:t xml:space="preserve">ighest scoring hotspot highlighted with </w:t>
      </w:r>
      <w:r w:rsidR="00671BBC">
        <w:rPr>
          <w:lang w:val="en-US"/>
        </w:rPr>
        <w:t xml:space="preserve">a </w:t>
      </w:r>
      <w:r>
        <w:rPr>
          <w:lang w:val="en-US"/>
        </w:rPr>
        <w:t xml:space="preserve">red circle. </w:t>
      </w:r>
      <w:r w:rsidR="00671BBC" w:rsidRPr="00671BBC">
        <w:rPr>
          <w:b/>
          <w:lang w:val="en-US"/>
        </w:rPr>
        <w:t>b</w:t>
      </w:r>
      <w:r>
        <w:rPr>
          <w:lang w:val="en-US"/>
        </w:rPr>
        <w:t xml:space="preserve">: Visualization of residual aggregation propensity (Blue: low propensity, Red: high propensity).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
        <w:gridCol w:w="4508"/>
        <w:gridCol w:w="4093"/>
      </w:tblGrid>
      <w:tr w:rsidR="002A4676" w14:paraId="000A4B52" w14:textId="11B8B0F2" w:rsidTr="00490EE9">
        <w:trPr>
          <w:trHeight w:val="5097"/>
        </w:trPr>
        <w:tc>
          <w:tcPr>
            <w:tcW w:w="461" w:type="dxa"/>
          </w:tcPr>
          <w:p w14:paraId="51CCE322" w14:textId="25AFB64E" w:rsidR="002A4676" w:rsidRPr="00490EE9" w:rsidRDefault="002A4676" w:rsidP="00057203">
            <w:pPr>
              <w:spacing w:line="480" w:lineRule="auto"/>
              <w:rPr>
                <w:b/>
                <w:noProof/>
                <w:lang w:val="en-US"/>
              </w:rPr>
            </w:pPr>
            <w:r w:rsidRPr="00490EE9">
              <w:rPr>
                <w:b/>
                <w:noProof/>
                <w:lang w:val="en-US"/>
              </w:rPr>
              <w:lastRenderedPageBreak/>
              <w:t>a</w:t>
            </w:r>
          </w:p>
        </w:tc>
        <w:tc>
          <w:tcPr>
            <w:tcW w:w="4508" w:type="dxa"/>
          </w:tcPr>
          <w:p w14:paraId="689C28B2" w14:textId="67A576D6" w:rsidR="002A4676" w:rsidRDefault="002A4676" w:rsidP="00057203">
            <w:pPr>
              <w:spacing w:line="480" w:lineRule="auto"/>
              <w:rPr>
                <w:lang w:val="en-US"/>
              </w:rPr>
            </w:pPr>
            <w:r>
              <w:rPr>
                <w:noProof/>
                <w:lang w:val="en-US"/>
              </w:rPr>
              <mc:AlternateContent>
                <mc:Choice Requires="wps">
                  <w:drawing>
                    <wp:anchor distT="0" distB="0" distL="114300" distR="114300" simplePos="0" relativeHeight="251718656" behindDoc="0" locked="0" layoutInCell="1" allowOverlap="1" wp14:anchorId="4C454518" wp14:editId="18789445">
                      <wp:simplePos x="0" y="0"/>
                      <wp:positionH relativeFrom="margin">
                        <wp:posOffset>2633980</wp:posOffset>
                      </wp:positionH>
                      <wp:positionV relativeFrom="paragraph">
                        <wp:posOffset>107950</wp:posOffset>
                      </wp:positionV>
                      <wp:extent cx="1188720" cy="219456"/>
                      <wp:effectExtent l="0" t="0" r="11430" b="28575"/>
                      <wp:wrapNone/>
                      <wp:docPr id="3" name="Rectangle 3"/>
                      <wp:cNvGraphicFramePr/>
                      <a:graphic xmlns:a="http://schemas.openxmlformats.org/drawingml/2006/main">
                        <a:graphicData uri="http://schemas.microsoft.com/office/word/2010/wordprocessingShape">
                          <wps:wsp>
                            <wps:cNvSpPr/>
                            <wps:spPr>
                              <a:xfrm>
                                <a:off x="0" y="0"/>
                                <a:ext cx="1188720" cy="219456"/>
                              </a:xfrm>
                              <a:prstGeom prst="rect">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3C46BA" w14:textId="77777777" w:rsidR="00887C61" w:rsidRPr="00F83E9F" w:rsidRDefault="00887C61" w:rsidP="00F13BDE">
                                  <w:pPr>
                                    <w:jc w:val="center"/>
                                    <w:rPr>
                                      <w:color w:val="000000" w:themeColor="text1"/>
                                      <w:sz w:val="16"/>
                                      <w:szCs w:val="16"/>
                                      <w:lang w:val="en-US"/>
                                    </w:rPr>
                                  </w:pPr>
                                  <w:r w:rsidRPr="00F83E9F">
                                    <w:rPr>
                                      <w:color w:val="000000" w:themeColor="text1"/>
                                      <w:sz w:val="16"/>
                                      <w:szCs w:val="16"/>
                                      <w:lang w:val="en-US"/>
                                    </w:rPr>
                                    <w:t>712</w:t>
                                  </w:r>
                                  <w:r>
                                    <w:rPr>
                                      <w:color w:val="000000" w:themeColor="text1"/>
                                      <w:sz w:val="16"/>
                                      <w:szCs w:val="16"/>
                                      <w:lang w:val="en-US"/>
                                    </w:rPr>
                                    <w:t>,</w:t>
                                  </w:r>
                                  <w:r w:rsidRPr="00F83E9F">
                                    <w:rPr>
                                      <w:color w:val="000000" w:themeColor="text1"/>
                                      <w:sz w:val="16"/>
                                      <w:szCs w:val="16"/>
                                      <w:lang w:val="en-US"/>
                                    </w:rPr>
                                    <w:t>063</w:t>
                                  </w:r>
                                  <w:r>
                                    <w:rPr>
                                      <w:color w:val="000000" w:themeColor="text1"/>
                                      <w:sz w:val="16"/>
                                      <w:szCs w:val="16"/>
                                      <w:lang w:val="en-US"/>
                                    </w:rPr>
                                    <w:t>,</w:t>
                                  </w:r>
                                  <w:r w:rsidRPr="00F83E9F">
                                    <w:rPr>
                                      <w:color w:val="000000" w:themeColor="text1"/>
                                      <w:sz w:val="16"/>
                                      <w:szCs w:val="16"/>
                                      <w:lang w:val="en-US"/>
                                    </w:rPr>
                                    <w:t>450 substances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54518" id="Rectangle 3" o:spid="_x0000_s1028" style="position:absolute;margin-left:207.4pt;margin-top:8.5pt;width:93.6pt;height:17.3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" fillcolor="#7f7f7f [1612]" strokecolor="black [3213]" strokeweight="1pt">
                      <v:textbox>
                        <w:txbxContent>
                          <w:p w14:paraId="333C46BA" w14:textId="77777777" w:rsidR="00887C61" w:rsidRPr="00F83E9F" w:rsidRDefault="00887C61" w:rsidP="00F13BDE">
                            <w:pPr>
                              <w:jc w:val="center"/>
                              <w:rPr>
                                <w:color w:val="000000" w:themeColor="text1"/>
                                <w:sz w:val="16"/>
                                <w:szCs w:val="16"/>
                                <w:lang w:val="en-US"/>
                              </w:rPr>
                            </w:pPr>
                            <w:r w:rsidRPr="00F83E9F">
                              <w:rPr>
                                <w:color w:val="000000" w:themeColor="text1"/>
                                <w:sz w:val="16"/>
                                <w:szCs w:val="16"/>
                                <w:lang w:val="en-US"/>
                              </w:rPr>
                              <w:t>712</w:t>
                            </w:r>
                            <w:r>
                              <w:rPr>
                                <w:color w:val="000000" w:themeColor="text1"/>
                                <w:sz w:val="16"/>
                                <w:szCs w:val="16"/>
                                <w:lang w:val="en-US"/>
                              </w:rPr>
                              <w:t>,</w:t>
                            </w:r>
                            <w:r w:rsidRPr="00F83E9F">
                              <w:rPr>
                                <w:color w:val="000000" w:themeColor="text1"/>
                                <w:sz w:val="16"/>
                                <w:szCs w:val="16"/>
                                <w:lang w:val="en-US"/>
                              </w:rPr>
                              <w:t>063</w:t>
                            </w:r>
                            <w:r>
                              <w:rPr>
                                <w:color w:val="000000" w:themeColor="text1"/>
                                <w:sz w:val="16"/>
                                <w:szCs w:val="16"/>
                                <w:lang w:val="en-US"/>
                              </w:rPr>
                              <w:t>,</w:t>
                            </w:r>
                            <w:r w:rsidRPr="00F83E9F">
                              <w:rPr>
                                <w:color w:val="000000" w:themeColor="text1"/>
                                <w:sz w:val="16"/>
                                <w:szCs w:val="16"/>
                                <w:lang w:val="en-US"/>
                              </w:rPr>
                              <w:t>450 substances</w:t>
                            </w:r>
                          </w:p>
                        </w:txbxContent>
                      </v:textbox>
                      <w10:wrap anchorx="margin"/>
                    </v:rect>
                  </w:pict>
                </mc:Fallback>
              </mc:AlternateContent>
            </w:r>
          </w:p>
          <w:p w14:paraId="49D2285A" w14:textId="77777777" w:rsidR="002A4676" w:rsidRDefault="002A4676" w:rsidP="00057203">
            <w:pPr>
              <w:keepNext/>
              <w:spacing w:line="480" w:lineRule="auto"/>
            </w:pPr>
            <w:r>
              <w:rPr>
                <w:noProof/>
                <w:lang w:val="en-US"/>
              </w:rPr>
              <mc:AlternateContent>
                <mc:Choice Requires="wps">
                  <w:drawing>
                    <wp:anchor distT="0" distB="0" distL="114300" distR="114300" simplePos="0" relativeHeight="251721728" behindDoc="0" locked="0" layoutInCell="1" allowOverlap="1" wp14:anchorId="64DCD9C8" wp14:editId="079BA8C6">
                      <wp:simplePos x="0" y="0"/>
                      <wp:positionH relativeFrom="margin">
                        <wp:posOffset>1881505</wp:posOffset>
                      </wp:positionH>
                      <wp:positionV relativeFrom="paragraph">
                        <wp:posOffset>1620520</wp:posOffset>
                      </wp:positionV>
                      <wp:extent cx="1188720" cy="219075"/>
                      <wp:effectExtent l="0" t="0" r="11430" b="28575"/>
                      <wp:wrapNone/>
                      <wp:docPr id="7" name="Rectangle 7"/>
                      <wp:cNvGraphicFramePr/>
                      <a:graphic xmlns:a="http://schemas.openxmlformats.org/drawingml/2006/main">
                        <a:graphicData uri="http://schemas.microsoft.com/office/word/2010/wordprocessingShape">
                          <wps:wsp>
                            <wps:cNvSpPr/>
                            <wps:spPr>
                              <a:xfrm>
                                <a:off x="0" y="0"/>
                                <a:ext cx="1188720" cy="21907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722982" w14:textId="77777777" w:rsidR="00887C61" w:rsidRPr="00F83E9F" w:rsidRDefault="00887C61" w:rsidP="00F13BDE">
                                  <w:pPr>
                                    <w:jc w:val="center"/>
                                    <w:rPr>
                                      <w:color w:val="000000" w:themeColor="text1"/>
                                      <w:sz w:val="16"/>
                                      <w:szCs w:val="16"/>
                                      <w:lang w:val="en-US"/>
                                    </w:rPr>
                                  </w:pPr>
                                  <w:r w:rsidRPr="00F83E9F">
                                    <w:rPr>
                                      <w:color w:val="000000" w:themeColor="text1"/>
                                      <w:sz w:val="16"/>
                                      <w:szCs w:val="16"/>
                                      <w:lang w:val="en-US"/>
                                    </w:rPr>
                                    <w:t>167 substances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CD9C8" id="Rectangle 7" o:spid="_x0000_s1029" style="position:absolute;margin-left:148.15pt;margin-top:127.6pt;width:93.6pt;height:17.2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" fillcolor="#d8d8d8 [2732]" strokecolor="black [3213]" strokeweight="1pt">
                      <v:textbox>
                        <w:txbxContent>
                          <w:p w14:paraId="2A722982" w14:textId="77777777" w:rsidR="00887C61" w:rsidRPr="00F83E9F" w:rsidRDefault="00887C61" w:rsidP="00F13BDE">
                            <w:pPr>
                              <w:jc w:val="center"/>
                              <w:rPr>
                                <w:color w:val="000000" w:themeColor="text1"/>
                                <w:sz w:val="16"/>
                                <w:szCs w:val="16"/>
                                <w:lang w:val="en-US"/>
                              </w:rPr>
                            </w:pPr>
                            <w:r w:rsidRPr="00F83E9F">
                              <w:rPr>
                                <w:color w:val="000000" w:themeColor="text1"/>
                                <w:sz w:val="16"/>
                                <w:szCs w:val="16"/>
                                <w:lang w:val="en-US"/>
                              </w:rPr>
                              <w:t>167 substances</w:t>
                            </w:r>
                          </w:p>
                        </w:txbxContent>
                      </v:textbox>
                      <w10:wrap anchorx="margin"/>
                    </v:rect>
                  </w:pict>
                </mc:Fallback>
              </mc:AlternateContent>
            </w:r>
            <w:r>
              <w:rPr>
                <w:noProof/>
                <w:lang w:val="en-US"/>
              </w:rPr>
              <mc:AlternateContent>
                <mc:Choice Requires="wps">
                  <w:drawing>
                    <wp:anchor distT="0" distB="0" distL="114300" distR="114300" simplePos="0" relativeHeight="251722752" behindDoc="0" locked="0" layoutInCell="1" allowOverlap="1" wp14:anchorId="79A6629B" wp14:editId="7F21DABA">
                      <wp:simplePos x="0" y="0"/>
                      <wp:positionH relativeFrom="margin">
                        <wp:posOffset>900430</wp:posOffset>
                      </wp:positionH>
                      <wp:positionV relativeFrom="paragraph">
                        <wp:posOffset>2878455</wp:posOffset>
                      </wp:positionV>
                      <wp:extent cx="847725" cy="2190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847725" cy="219075"/>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AF3531" w14:textId="77777777" w:rsidR="00887C61" w:rsidRPr="00F83E9F" w:rsidRDefault="00887C61" w:rsidP="00F13BDE">
                                  <w:pPr>
                                    <w:jc w:val="center"/>
                                    <w:rPr>
                                      <w:color w:val="000000" w:themeColor="text1"/>
                                      <w:sz w:val="16"/>
                                      <w:szCs w:val="16"/>
                                      <w:lang w:val="en-US"/>
                                    </w:rPr>
                                  </w:pPr>
                                  <w:r>
                                    <w:rPr>
                                      <w:color w:val="000000" w:themeColor="text1"/>
                                      <w:sz w:val="16"/>
                                      <w:szCs w:val="16"/>
                                      <w:lang w:val="en-US"/>
                                    </w:rPr>
                                    <w:t>5</w:t>
                                  </w:r>
                                  <w:r w:rsidRPr="00F83E9F">
                                    <w:rPr>
                                      <w:color w:val="000000" w:themeColor="text1"/>
                                      <w:sz w:val="16"/>
                                      <w:szCs w:val="16"/>
                                      <w:lang w:val="en-US"/>
                                    </w:rPr>
                                    <w:t xml:space="preserve"> substances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6629B" id="Rectangle 8" o:spid="_x0000_s1030" style="position:absolute;margin-left:70.9pt;margin-top:226.65pt;width:66.75pt;height:17.2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" fillcolor="#f2f2f2 [3052]" strokecolor="black [3213]" strokeweight="1pt">
                      <v:textbox>
                        <w:txbxContent>
                          <w:p w14:paraId="78AF3531" w14:textId="77777777" w:rsidR="00887C61" w:rsidRPr="00F83E9F" w:rsidRDefault="00887C61" w:rsidP="00F13BDE">
                            <w:pPr>
                              <w:jc w:val="center"/>
                              <w:rPr>
                                <w:color w:val="000000" w:themeColor="text1"/>
                                <w:sz w:val="16"/>
                                <w:szCs w:val="16"/>
                                <w:lang w:val="en-US"/>
                              </w:rPr>
                            </w:pPr>
                            <w:r>
                              <w:rPr>
                                <w:color w:val="000000" w:themeColor="text1"/>
                                <w:sz w:val="16"/>
                                <w:szCs w:val="16"/>
                                <w:lang w:val="en-US"/>
                              </w:rPr>
                              <w:t>5</w:t>
                            </w:r>
                            <w:r w:rsidRPr="00F83E9F">
                              <w:rPr>
                                <w:color w:val="000000" w:themeColor="text1"/>
                                <w:sz w:val="16"/>
                                <w:szCs w:val="16"/>
                                <w:lang w:val="en-US"/>
                              </w:rPr>
                              <w:t xml:space="preserve"> substances</w:t>
                            </w:r>
                          </w:p>
                        </w:txbxContent>
                      </v:textbox>
                      <w10:wrap anchorx="margin"/>
                    </v:rect>
                  </w:pict>
                </mc:Fallback>
              </mc:AlternateContent>
            </w:r>
            <w:r>
              <w:rPr>
                <w:noProof/>
                <w:lang w:val="en-US"/>
              </w:rPr>
              <mc:AlternateContent>
                <mc:Choice Requires="wps">
                  <w:drawing>
                    <wp:anchor distT="0" distB="0" distL="114300" distR="114300" simplePos="0" relativeHeight="251720704" behindDoc="0" locked="0" layoutInCell="1" allowOverlap="1" wp14:anchorId="50D10CAD" wp14:editId="7EE03378">
                      <wp:simplePos x="0" y="0"/>
                      <wp:positionH relativeFrom="margin">
                        <wp:posOffset>2243455</wp:posOffset>
                      </wp:positionH>
                      <wp:positionV relativeFrom="paragraph">
                        <wp:posOffset>583565</wp:posOffset>
                      </wp:positionV>
                      <wp:extent cx="1188720" cy="219075"/>
                      <wp:effectExtent l="0" t="0" r="11430" b="28575"/>
                      <wp:wrapNone/>
                      <wp:docPr id="6" name="Rectangle 6"/>
                      <wp:cNvGraphicFramePr/>
                      <a:graphic xmlns:a="http://schemas.openxmlformats.org/drawingml/2006/main">
                        <a:graphicData uri="http://schemas.microsoft.com/office/word/2010/wordprocessingShape">
                          <wps:wsp>
                            <wps:cNvSpPr/>
                            <wps:spPr>
                              <a:xfrm>
                                <a:off x="0" y="0"/>
                                <a:ext cx="1188720" cy="219075"/>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989840" w14:textId="77777777" w:rsidR="00887C61" w:rsidRPr="00F83E9F" w:rsidRDefault="00887C61" w:rsidP="00F13BDE">
                                  <w:pPr>
                                    <w:jc w:val="center"/>
                                    <w:rPr>
                                      <w:color w:val="000000" w:themeColor="text1"/>
                                      <w:sz w:val="16"/>
                                      <w:szCs w:val="16"/>
                                      <w:lang w:val="en-US"/>
                                    </w:rPr>
                                  </w:pPr>
                                  <w:r w:rsidRPr="00F83E9F">
                                    <w:rPr>
                                      <w:color w:val="000000" w:themeColor="text1"/>
                                      <w:sz w:val="16"/>
                                      <w:szCs w:val="16"/>
                                      <w:lang w:val="en-US"/>
                                    </w:rPr>
                                    <w:t>33</w:t>
                                  </w:r>
                                  <w:r>
                                    <w:rPr>
                                      <w:color w:val="000000" w:themeColor="text1"/>
                                      <w:sz w:val="16"/>
                                      <w:szCs w:val="16"/>
                                      <w:lang w:val="en-US"/>
                                    </w:rPr>
                                    <w:t>,</w:t>
                                  </w:r>
                                  <w:r w:rsidRPr="00F83E9F">
                                    <w:rPr>
                                      <w:color w:val="000000" w:themeColor="text1"/>
                                      <w:sz w:val="16"/>
                                      <w:szCs w:val="16"/>
                                      <w:lang w:val="en-US"/>
                                    </w:rPr>
                                    <w:t>101 substances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10CAD" id="Rectangle 6" o:spid="_x0000_s1031" style="position:absolute;margin-left:176.65pt;margin-top:45.95pt;width:93.6pt;height:17.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" fillcolor="#bfbfbf [2412]" strokecolor="black [3213]" strokeweight="1pt">
                      <v:textbox>
                        <w:txbxContent>
                          <w:p w14:paraId="74989840" w14:textId="77777777" w:rsidR="00887C61" w:rsidRPr="00F83E9F" w:rsidRDefault="00887C61" w:rsidP="00F13BDE">
                            <w:pPr>
                              <w:jc w:val="center"/>
                              <w:rPr>
                                <w:color w:val="000000" w:themeColor="text1"/>
                                <w:sz w:val="16"/>
                                <w:szCs w:val="16"/>
                                <w:lang w:val="en-US"/>
                              </w:rPr>
                            </w:pPr>
                            <w:r w:rsidRPr="00F83E9F">
                              <w:rPr>
                                <w:color w:val="000000" w:themeColor="text1"/>
                                <w:sz w:val="16"/>
                                <w:szCs w:val="16"/>
                                <w:lang w:val="en-US"/>
                              </w:rPr>
                              <w:t>33</w:t>
                            </w:r>
                            <w:r>
                              <w:rPr>
                                <w:color w:val="000000" w:themeColor="text1"/>
                                <w:sz w:val="16"/>
                                <w:szCs w:val="16"/>
                                <w:lang w:val="en-US"/>
                              </w:rPr>
                              <w:t>,</w:t>
                            </w:r>
                            <w:r w:rsidRPr="00F83E9F">
                              <w:rPr>
                                <w:color w:val="000000" w:themeColor="text1"/>
                                <w:sz w:val="16"/>
                                <w:szCs w:val="16"/>
                                <w:lang w:val="en-US"/>
                              </w:rPr>
                              <w:t>101 substances</w:t>
                            </w:r>
                          </w:p>
                        </w:txbxContent>
                      </v:textbox>
                      <w10:wrap anchorx="margin"/>
                    </v:rect>
                  </w:pict>
                </mc:Fallback>
              </mc:AlternateContent>
            </w:r>
            <w:r>
              <w:rPr>
                <w:noProof/>
                <w:lang w:val="en-US"/>
              </w:rPr>
              <mc:AlternateContent>
                <mc:Choice Requires="wps">
                  <w:drawing>
                    <wp:anchor distT="0" distB="0" distL="114300" distR="114300" simplePos="0" relativeHeight="251719680" behindDoc="0" locked="0" layoutInCell="1" allowOverlap="1" wp14:anchorId="7A236EA3" wp14:editId="3C5860B8">
                      <wp:simplePos x="0" y="0"/>
                      <wp:positionH relativeFrom="margin">
                        <wp:posOffset>2472055</wp:posOffset>
                      </wp:positionH>
                      <wp:positionV relativeFrom="paragraph">
                        <wp:posOffset>202565</wp:posOffset>
                      </wp:positionV>
                      <wp:extent cx="1188720" cy="219075"/>
                      <wp:effectExtent l="0" t="0" r="11430" b="28575"/>
                      <wp:wrapNone/>
                      <wp:docPr id="4" name="Rectangle 4"/>
                      <wp:cNvGraphicFramePr/>
                      <a:graphic xmlns:a="http://schemas.openxmlformats.org/drawingml/2006/main">
                        <a:graphicData uri="http://schemas.microsoft.com/office/word/2010/wordprocessingShape">
                          <wps:wsp>
                            <wps:cNvSpPr/>
                            <wps:spPr>
                              <a:xfrm>
                                <a:off x="0" y="0"/>
                                <a:ext cx="1188720" cy="219075"/>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15CE68" w14:textId="77777777" w:rsidR="00887C61" w:rsidRPr="00F83E9F" w:rsidRDefault="00887C61" w:rsidP="00F13BDE">
                                  <w:pPr>
                                    <w:jc w:val="center"/>
                                    <w:rPr>
                                      <w:color w:val="000000" w:themeColor="text1"/>
                                      <w:sz w:val="16"/>
                                      <w:szCs w:val="16"/>
                                      <w:lang w:val="en-US"/>
                                    </w:rPr>
                                  </w:pPr>
                                  <w:r w:rsidRPr="00F83E9F">
                                    <w:rPr>
                                      <w:color w:val="000000" w:themeColor="text1"/>
                                      <w:sz w:val="16"/>
                                      <w:szCs w:val="16"/>
                                      <w:lang w:val="en-US"/>
                                    </w:rPr>
                                    <w:t>52</w:t>
                                  </w:r>
                                  <w:r>
                                    <w:rPr>
                                      <w:color w:val="000000" w:themeColor="text1"/>
                                      <w:sz w:val="16"/>
                                      <w:szCs w:val="16"/>
                                      <w:lang w:val="en-US"/>
                                    </w:rPr>
                                    <w:t>,</w:t>
                                  </w:r>
                                  <w:r w:rsidRPr="00F83E9F">
                                    <w:rPr>
                                      <w:color w:val="000000" w:themeColor="text1"/>
                                      <w:sz w:val="16"/>
                                      <w:szCs w:val="16"/>
                                      <w:lang w:val="en-US"/>
                                    </w:rPr>
                                    <w:t>980 substances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36EA3" id="Rectangle 4" o:spid="_x0000_s1032" style="position:absolute;margin-left:194.65pt;margin-top:15.95pt;width:93.6pt;height:17.2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" fillcolor="#a5a5a5 [2092]" strokecolor="black [3213]" strokeweight="1pt">
                      <v:textbox>
                        <w:txbxContent>
                          <w:p w14:paraId="1D15CE68" w14:textId="77777777" w:rsidR="00887C61" w:rsidRPr="00F83E9F" w:rsidRDefault="00887C61" w:rsidP="00F13BDE">
                            <w:pPr>
                              <w:jc w:val="center"/>
                              <w:rPr>
                                <w:color w:val="000000" w:themeColor="text1"/>
                                <w:sz w:val="16"/>
                                <w:szCs w:val="16"/>
                                <w:lang w:val="en-US"/>
                              </w:rPr>
                            </w:pPr>
                            <w:r w:rsidRPr="00F83E9F">
                              <w:rPr>
                                <w:color w:val="000000" w:themeColor="text1"/>
                                <w:sz w:val="16"/>
                                <w:szCs w:val="16"/>
                                <w:lang w:val="en-US"/>
                              </w:rPr>
                              <w:t>52</w:t>
                            </w:r>
                            <w:r>
                              <w:rPr>
                                <w:color w:val="000000" w:themeColor="text1"/>
                                <w:sz w:val="16"/>
                                <w:szCs w:val="16"/>
                                <w:lang w:val="en-US"/>
                              </w:rPr>
                              <w:t>,</w:t>
                            </w:r>
                            <w:r w:rsidRPr="00F83E9F">
                              <w:rPr>
                                <w:color w:val="000000" w:themeColor="text1"/>
                                <w:sz w:val="16"/>
                                <w:szCs w:val="16"/>
                                <w:lang w:val="en-US"/>
                              </w:rPr>
                              <w:t>980 substances</w:t>
                            </w:r>
                          </w:p>
                        </w:txbxContent>
                      </v:textbox>
                      <w10:wrap anchorx="margin"/>
                    </v:rect>
                  </w:pict>
                </mc:Fallback>
              </mc:AlternateContent>
            </w:r>
            <w:r w:rsidRPr="007708D9">
              <w:rPr>
                <w:noProof/>
                <w:lang w:val="en-US"/>
              </w:rPr>
              <w:drawing>
                <wp:inline distT="0" distB="0" distL="0" distR="0" wp14:anchorId="25835647" wp14:editId="3D124DAC">
                  <wp:extent cx="2619375" cy="2847975"/>
                  <wp:effectExtent l="12700" t="0" r="22225" b="2222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1E62EFEC" w14:textId="77777777" w:rsidR="002A4676" w:rsidRDefault="002A4676" w:rsidP="00057203">
            <w:pPr>
              <w:spacing w:line="480" w:lineRule="auto"/>
              <w:rPr>
                <w:lang w:val="en-US"/>
              </w:rPr>
            </w:pPr>
          </w:p>
        </w:tc>
        <w:tc>
          <w:tcPr>
            <w:tcW w:w="4093" w:type="dxa"/>
          </w:tcPr>
          <w:p w14:paraId="5307A867" w14:textId="77777777" w:rsidR="00490EE9" w:rsidRDefault="00490EE9" w:rsidP="00490EE9">
            <w:pPr>
              <w:spacing w:line="480" w:lineRule="auto"/>
              <w:jc w:val="center"/>
              <w:rPr>
                <w:lang w:val="en-US"/>
              </w:rPr>
            </w:pPr>
          </w:p>
          <w:p w14:paraId="070F663A" w14:textId="312157AE" w:rsidR="00490EE9" w:rsidRDefault="00490EE9" w:rsidP="00490EE9">
            <w:pPr>
              <w:spacing w:line="480" w:lineRule="auto"/>
              <w:jc w:val="center"/>
              <w:rPr>
                <w:lang w:val="en-US"/>
              </w:rPr>
            </w:pPr>
          </w:p>
          <w:p w14:paraId="236BE7CA" w14:textId="77777777" w:rsidR="00490EE9" w:rsidRDefault="00490EE9" w:rsidP="00490EE9">
            <w:pPr>
              <w:spacing w:line="480" w:lineRule="auto"/>
              <w:jc w:val="center"/>
              <w:rPr>
                <w:lang w:val="en-US"/>
              </w:rPr>
            </w:pPr>
          </w:p>
          <w:p w14:paraId="7568E49D" w14:textId="672D716B" w:rsidR="002A4676" w:rsidRPr="00490EE9" w:rsidRDefault="00490EE9" w:rsidP="00490EE9">
            <w:pPr>
              <w:spacing w:line="480" w:lineRule="auto"/>
              <w:jc w:val="center"/>
              <w:rPr>
                <w:b/>
                <w:lang w:val="en-US"/>
              </w:rPr>
            </w:pPr>
            <w:r w:rsidRPr="00490EE9">
              <w:rPr>
                <w:b/>
                <w:noProof/>
                <w:lang w:val="en-US"/>
              </w:rPr>
              <w:drawing>
                <wp:anchor distT="0" distB="0" distL="114300" distR="114300" simplePos="0" relativeHeight="251723776" behindDoc="0" locked="0" layoutInCell="1" allowOverlap="1" wp14:anchorId="7E4EE747" wp14:editId="470B6E9E">
                  <wp:simplePos x="0" y="0"/>
                  <wp:positionH relativeFrom="column">
                    <wp:posOffset>339725</wp:posOffset>
                  </wp:positionH>
                  <wp:positionV relativeFrom="paragraph">
                    <wp:posOffset>213360</wp:posOffset>
                  </wp:positionV>
                  <wp:extent cx="1858010" cy="1952625"/>
                  <wp:effectExtent l="0" t="0" r="8890" b="0"/>
                  <wp:wrapSquare wrapText="bothSides"/>
                  <wp:docPr id="56"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5"/>
                          <pic:cNvPicPr>
                            <a:picLocks noChangeAspect="1"/>
                          </pic:cNvPicPr>
                        </pic:nvPicPr>
                        <pic:blipFill rotWithShape="1">
                          <a:blip r:embed="rId31" cstate="print">
                            <a:extLst>
                              <a:ext uri="{28A0092B-C50C-407E-A947-70E740481C1C}">
                                <a14:useLocalDpi xmlns:a14="http://schemas.microsoft.com/office/drawing/2010/main" val="0"/>
                              </a:ext>
                            </a:extLst>
                          </a:blip>
                          <a:srcRect/>
                          <a:stretch/>
                        </pic:blipFill>
                        <pic:spPr>
                          <a:xfrm>
                            <a:off x="0" y="0"/>
                            <a:ext cx="1858010" cy="1952625"/>
                          </a:xfrm>
                          <a:prstGeom prst="rect">
                            <a:avLst/>
                          </a:prstGeom>
                        </pic:spPr>
                      </pic:pic>
                    </a:graphicData>
                  </a:graphic>
                  <wp14:sizeRelH relativeFrom="margin">
                    <wp14:pctWidth>0</wp14:pctWidth>
                  </wp14:sizeRelH>
                  <wp14:sizeRelV relativeFrom="margin">
                    <wp14:pctHeight>0</wp14:pctHeight>
                  </wp14:sizeRelV>
                </wp:anchor>
              </w:drawing>
            </w:r>
            <w:r w:rsidRPr="00490EE9">
              <w:rPr>
                <w:b/>
                <w:lang w:val="en-US"/>
              </w:rPr>
              <w:t>b</w:t>
            </w:r>
          </w:p>
        </w:tc>
      </w:tr>
    </w:tbl>
    <w:p w14:paraId="25F84928" w14:textId="77777777" w:rsidR="00F13BDE" w:rsidRDefault="00F13BDE" w:rsidP="00F13BDE">
      <w:pPr>
        <w:pStyle w:val="Caption"/>
        <w:spacing w:line="480" w:lineRule="auto"/>
      </w:pPr>
    </w:p>
    <w:p w14:paraId="411B3822" w14:textId="0E29E1D6" w:rsidR="00F13BDE" w:rsidRDefault="00F13BDE" w:rsidP="00F13BDE">
      <w:pPr>
        <w:pStyle w:val="Caption"/>
        <w:spacing w:line="480" w:lineRule="auto"/>
        <w:jc w:val="both"/>
        <w:rPr>
          <w:lang w:val="en-US"/>
        </w:rPr>
      </w:pPr>
      <w:bookmarkStart w:id="7" w:name="_Ref510875549"/>
      <w:r w:rsidRPr="007708D9">
        <w:rPr>
          <w:lang w:val="en-US"/>
        </w:rPr>
        <w:t xml:space="preserve">Figure </w:t>
      </w:r>
      <w:r>
        <w:fldChar w:fldCharType="begin"/>
      </w:r>
      <w:r w:rsidRPr="007708D9">
        <w:rPr>
          <w:lang w:val="en-US"/>
        </w:rPr>
        <w:instrText xml:space="preserve"> SEQ Figure \* ARABIC </w:instrText>
      </w:r>
      <w:r>
        <w:fldChar w:fldCharType="separate"/>
      </w:r>
      <w:r w:rsidR="00941055">
        <w:rPr>
          <w:noProof/>
          <w:lang w:val="en-US"/>
        </w:rPr>
        <w:t>2</w:t>
      </w:r>
      <w:r>
        <w:fldChar w:fldCharType="end"/>
      </w:r>
      <w:bookmarkEnd w:id="7"/>
      <w:r w:rsidRPr="00FA00EC">
        <w:rPr>
          <w:lang w:val="en-US"/>
        </w:rPr>
        <w:t>:</w:t>
      </w:r>
      <w:r w:rsidR="002A4676">
        <w:rPr>
          <w:lang w:val="en-US"/>
        </w:rPr>
        <w:t xml:space="preserve"> </w:t>
      </w:r>
      <w:r w:rsidR="002A4676" w:rsidRPr="002A4676">
        <w:rPr>
          <w:b/>
          <w:lang w:val="en-US"/>
        </w:rPr>
        <w:t>Virtual Screen.</w:t>
      </w:r>
      <w:r w:rsidRPr="00FA00EC">
        <w:rPr>
          <w:lang w:val="en-US"/>
        </w:rPr>
        <w:t xml:space="preserve"> </w:t>
      </w:r>
      <w:r>
        <w:rPr>
          <w:lang w:val="en-US"/>
        </w:rPr>
        <w:t xml:space="preserve">Left: </w:t>
      </w:r>
      <w:r w:rsidRPr="00FA00EC">
        <w:rPr>
          <w:lang w:val="en-US"/>
        </w:rPr>
        <w:t>Scheme of</w:t>
      </w:r>
      <w:r>
        <w:rPr>
          <w:lang w:val="en-US"/>
        </w:rPr>
        <w:t xml:space="preserve"> the virtual screen, designed to identify substances that possess high solubility, low reactivity and high affinity towards the defined binding site. Right: visualization of a ligand (blue) bound to IFN (green) in proximity to the aggregation hotspot predicted by Aggrescan3D (red). </w:t>
      </w:r>
    </w:p>
    <w:p w14:paraId="515C2562" w14:textId="77777777" w:rsidR="00172C2D" w:rsidRDefault="00172C2D" w:rsidP="00172C2D">
      <w:pPr>
        <w:rPr>
          <w:lang w:val="en-US"/>
        </w:rPr>
        <w:sectPr w:rsidR="00172C2D">
          <w:footerReference w:type="default" r:id="rId32"/>
          <w:pgSz w:w="11906" w:h="16838"/>
          <w:pgMar w:top="1417" w:right="1417" w:bottom="1134" w:left="1417"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
        <w:gridCol w:w="8737"/>
      </w:tblGrid>
      <w:tr w:rsidR="00F13BDE" w:rsidRPr="00447697" w14:paraId="6E4F789D" w14:textId="77777777" w:rsidTr="00172C2D">
        <w:tc>
          <w:tcPr>
            <w:tcW w:w="335" w:type="dxa"/>
          </w:tcPr>
          <w:p w14:paraId="190DE594" w14:textId="73B19E0B" w:rsidR="00F13BDE" w:rsidRPr="003F62D8" w:rsidRDefault="003F62D8" w:rsidP="00057203">
            <w:pPr>
              <w:spacing w:line="480" w:lineRule="auto"/>
              <w:jc w:val="center"/>
              <w:rPr>
                <w:b/>
                <w:noProof/>
                <w:lang w:val="en-US"/>
              </w:rPr>
            </w:pPr>
            <w:r w:rsidRPr="003F62D8">
              <w:rPr>
                <w:b/>
                <w:noProof/>
                <w:lang w:val="en-US"/>
              </w:rPr>
              <w:lastRenderedPageBreak/>
              <w:t>a</w:t>
            </w:r>
          </w:p>
        </w:tc>
        <w:tc>
          <w:tcPr>
            <w:tcW w:w="8737" w:type="dxa"/>
          </w:tcPr>
          <w:p w14:paraId="452D1A1C" w14:textId="77777777" w:rsidR="00F13BDE" w:rsidRDefault="00F13BDE" w:rsidP="00057203">
            <w:pPr>
              <w:spacing w:line="480" w:lineRule="auto"/>
              <w:jc w:val="center"/>
              <w:rPr>
                <w:lang w:val="en-US"/>
              </w:rPr>
            </w:pPr>
            <w:r>
              <w:rPr>
                <w:noProof/>
                <w:lang w:val="en-US"/>
              </w:rPr>
              <w:drawing>
                <wp:anchor distT="0" distB="0" distL="114300" distR="114300" simplePos="0" relativeHeight="251724800" behindDoc="0" locked="0" layoutInCell="1" allowOverlap="1" wp14:anchorId="761BE7AD" wp14:editId="41AC9201">
                  <wp:simplePos x="0" y="0"/>
                  <wp:positionH relativeFrom="column">
                    <wp:posOffset>-66675</wp:posOffset>
                  </wp:positionH>
                  <wp:positionV relativeFrom="paragraph">
                    <wp:posOffset>0</wp:posOffset>
                  </wp:positionV>
                  <wp:extent cx="3905250" cy="1950085"/>
                  <wp:effectExtent l="0" t="0" r="0" b="0"/>
                  <wp:wrapSquare wrapText="bothSides"/>
                  <wp:docPr id="18" name="Picture 18" descr="Z:\Dropbox\PhD\Documents\Manuscripts\virtual_screen\MST_IL-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Dropbox\PhD\Documents\Manuscripts\virtual_screen\MST_IL-0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05250" cy="19500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13BDE" w:rsidRPr="00447697" w14:paraId="2B353AE1" w14:textId="77777777" w:rsidTr="00172C2D">
        <w:tc>
          <w:tcPr>
            <w:tcW w:w="335" w:type="dxa"/>
          </w:tcPr>
          <w:p w14:paraId="79D31412" w14:textId="72D5D859" w:rsidR="00F13BDE" w:rsidRPr="003F62D8" w:rsidRDefault="003F62D8" w:rsidP="003F62D8">
            <w:pPr>
              <w:spacing w:line="480" w:lineRule="auto"/>
              <w:jc w:val="center"/>
              <w:rPr>
                <w:b/>
                <w:noProof/>
                <w:lang w:val="en-US"/>
              </w:rPr>
            </w:pPr>
            <w:r w:rsidRPr="003F62D8">
              <w:rPr>
                <w:b/>
                <w:noProof/>
                <w:lang w:val="en-US"/>
              </w:rPr>
              <w:t>b</w:t>
            </w:r>
          </w:p>
        </w:tc>
        <w:tc>
          <w:tcPr>
            <w:tcW w:w="8737" w:type="dxa"/>
          </w:tcPr>
          <w:p w14:paraId="31B5EC41" w14:textId="77777777" w:rsidR="00F13BDE" w:rsidRPr="00E15D14" w:rsidRDefault="00F13BDE" w:rsidP="00057203">
            <w:pPr>
              <w:pStyle w:val="Caption"/>
              <w:spacing w:line="480" w:lineRule="auto"/>
              <w:jc w:val="center"/>
              <w:rPr>
                <w:lang w:val="en-US"/>
              </w:rPr>
            </w:pPr>
            <w:r>
              <w:rPr>
                <w:noProof/>
                <w:lang w:val="en-US"/>
              </w:rPr>
              <w:drawing>
                <wp:anchor distT="0" distB="0" distL="114300" distR="114300" simplePos="0" relativeHeight="251725824" behindDoc="0" locked="0" layoutInCell="1" allowOverlap="1" wp14:anchorId="6B2DDAFD" wp14:editId="38DDAC27">
                  <wp:simplePos x="0" y="0"/>
                  <wp:positionH relativeFrom="column">
                    <wp:posOffset>-66675</wp:posOffset>
                  </wp:positionH>
                  <wp:positionV relativeFrom="paragraph">
                    <wp:posOffset>0</wp:posOffset>
                  </wp:positionV>
                  <wp:extent cx="3923665" cy="1962150"/>
                  <wp:effectExtent l="0" t="0" r="635" b="0"/>
                  <wp:wrapSquare wrapText="bothSides"/>
                  <wp:docPr id="17" name="Picture 17" descr="Z:\Dropbox\PhD\Documents\Manuscripts\virtual_screen\MST_Argin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Dropbox\PhD\Documents\Manuscripts\virtual_screen\MST_Arginin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2366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13BDE" w14:paraId="563FBA5B" w14:textId="77777777" w:rsidTr="00172C2D">
        <w:trPr>
          <w:trHeight w:val="3055"/>
        </w:trPr>
        <w:tc>
          <w:tcPr>
            <w:tcW w:w="335" w:type="dxa"/>
          </w:tcPr>
          <w:p w14:paraId="3420853B" w14:textId="26533188" w:rsidR="00F13BDE" w:rsidRPr="003F62D8" w:rsidRDefault="00CD02EB" w:rsidP="003F62D8">
            <w:pPr>
              <w:spacing w:line="480" w:lineRule="auto"/>
              <w:jc w:val="center"/>
              <w:rPr>
                <w:b/>
                <w:noProof/>
                <w:lang w:val="en-US"/>
              </w:rPr>
            </w:pPr>
            <w:r>
              <w:rPr>
                <w:b/>
                <w:noProof/>
                <w:lang w:val="en-US"/>
              </w:rPr>
              <w:t>c</w:t>
            </w:r>
          </w:p>
        </w:tc>
        <w:tc>
          <w:tcPr>
            <w:tcW w:w="8737" w:type="dxa"/>
          </w:tcPr>
          <w:p w14:paraId="5EA40AD0" w14:textId="5719D657" w:rsidR="00F13BDE" w:rsidRDefault="00CD02EB" w:rsidP="00057203">
            <w:pPr>
              <w:pStyle w:val="Caption"/>
              <w:spacing w:line="480" w:lineRule="auto"/>
              <w:jc w:val="center"/>
              <w:rPr>
                <w:lang w:val="en-US"/>
              </w:rPr>
            </w:pPr>
            <w:r>
              <w:rPr>
                <w:noProof/>
                <w:lang w:val="en-US"/>
              </w:rPr>
              <w:drawing>
                <wp:anchor distT="0" distB="0" distL="114300" distR="114300" simplePos="0" relativeHeight="251726848" behindDoc="0" locked="0" layoutInCell="1" allowOverlap="1" wp14:anchorId="2F7E160B" wp14:editId="65464110">
                  <wp:simplePos x="0" y="0"/>
                  <wp:positionH relativeFrom="column">
                    <wp:posOffset>-66675</wp:posOffset>
                  </wp:positionH>
                  <wp:positionV relativeFrom="paragraph">
                    <wp:posOffset>0</wp:posOffset>
                  </wp:positionV>
                  <wp:extent cx="3505835" cy="2628900"/>
                  <wp:effectExtent l="0" t="0" r="0" b="0"/>
                  <wp:wrapSquare wrapText="bothSides"/>
                  <wp:docPr id="14" name="Picture 14" descr="E:\Dropbox\PhD\Documents\Manuscripts\converg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ropbox\PhD\Documents\Manuscripts\convergenc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05835"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13BDE" w:rsidRPr="00EA4B75" w14:paraId="50843BE9" w14:textId="77777777" w:rsidTr="00172C2D">
        <w:tc>
          <w:tcPr>
            <w:tcW w:w="335" w:type="dxa"/>
          </w:tcPr>
          <w:p w14:paraId="65DD2B5E" w14:textId="02CF91F4" w:rsidR="00F13BDE" w:rsidRPr="003F62D8" w:rsidRDefault="00F13BDE" w:rsidP="003F62D8">
            <w:pPr>
              <w:spacing w:line="480" w:lineRule="auto"/>
              <w:jc w:val="center"/>
              <w:rPr>
                <w:b/>
                <w:noProof/>
                <w:lang w:val="en-US"/>
              </w:rPr>
            </w:pPr>
          </w:p>
        </w:tc>
        <w:tc>
          <w:tcPr>
            <w:tcW w:w="8737" w:type="dxa"/>
          </w:tcPr>
          <w:p w14:paraId="70D5AE14" w14:textId="58A310FD" w:rsidR="00F13BDE" w:rsidRDefault="00F13BDE" w:rsidP="00057203">
            <w:pPr>
              <w:keepNext/>
              <w:spacing w:line="480" w:lineRule="auto"/>
              <w:jc w:val="center"/>
              <w:rPr>
                <w:noProof/>
                <w:lang w:val="en-US"/>
              </w:rPr>
            </w:pPr>
          </w:p>
        </w:tc>
      </w:tr>
      <w:tr w:rsidR="00F13BDE" w:rsidRPr="00A31830" w14:paraId="714E928F" w14:textId="77777777" w:rsidTr="00172C2D">
        <w:tc>
          <w:tcPr>
            <w:tcW w:w="9072" w:type="dxa"/>
            <w:gridSpan w:val="2"/>
          </w:tcPr>
          <w:p w14:paraId="7BFB4337" w14:textId="6F42B68D" w:rsidR="00F13BDE" w:rsidRPr="00A43FBC" w:rsidRDefault="00F13BDE" w:rsidP="00A43FBC">
            <w:pPr>
              <w:pStyle w:val="Caption"/>
              <w:spacing w:line="480" w:lineRule="auto"/>
              <w:jc w:val="center"/>
              <w:rPr>
                <w:color w:val="FF0000"/>
                <w:lang w:val="en-US"/>
              </w:rPr>
            </w:pPr>
            <w:bookmarkStart w:id="8" w:name="_Ref508894959"/>
            <w:bookmarkStart w:id="9" w:name="_Ref449415"/>
            <w:r w:rsidRPr="00E15D14">
              <w:rPr>
                <w:lang w:val="en-US"/>
              </w:rPr>
              <w:t xml:space="preserve">Figure </w:t>
            </w:r>
            <w:r>
              <w:fldChar w:fldCharType="begin"/>
            </w:r>
            <w:r w:rsidRPr="00E15D14">
              <w:rPr>
                <w:lang w:val="en-US"/>
              </w:rPr>
              <w:instrText xml:space="preserve"> SEQ Figure \* ARABIC </w:instrText>
            </w:r>
            <w:r>
              <w:fldChar w:fldCharType="separate"/>
            </w:r>
            <w:r w:rsidR="00941055">
              <w:rPr>
                <w:noProof/>
                <w:lang w:val="en-US"/>
              </w:rPr>
              <w:t>3</w:t>
            </w:r>
            <w:r>
              <w:fldChar w:fldCharType="end"/>
            </w:r>
            <w:bookmarkEnd w:id="8"/>
            <w:bookmarkEnd w:id="9"/>
            <w:r w:rsidRPr="00E15D14">
              <w:rPr>
                <w:lang w:val="en-US"/>
              </w:rPr>
              <w:t>:</w:t>
            </w:r>
            <w:r>
              <w:rPr>
                <w:lang w:val="en-US"/>
              </w:rPr>
              <w:t xml:space="preserve"> </w:t>
            </w:r>
            <w:r w:rsidRPr="006E311E">
              <w:rPr>
                <w:b/>
                <w:lang w:val="en-US"/>
              </w:rPr>
              <w:t>Experimental and calculated</w:t>
            </w:r>
            <w:r>
              <w:rPr>
                <w:lang w:val="en-US"/>
              </w:rPr>
              <w:t xml:space="preserve"> </w:t>
            </w:r>
            <w:r w:rsidR="00671BBC">
              <w:rPr>
                <w:lang w:val="en-US"/>
              </w:rPr>
              <w:t>b</w:t>
            </w:r>
            <w:r w:rsidRPr="006E311E">
              <w:rPr>
                <w:b/>
                <w:lang w:val="en-US"/>
              </w:rPr>
              <w:t>inding affinities.</w:t>
            </w:r>
            <w:r w:rsidR="003F62D8">
              <w:rPr>
                <w:b/>
                <w:lang w:val="en-US"/>
              </w:rPr>
              <w:t xml:space="preserve"> a:</w:t>
            </w:r>
            <w:r w:rsidRPr="00E15D14">
              <w:rPr>
                <w:lang w:val="en-US"/>
              </w:rPr>
              <w:t xml:space="preserve"> Dose response curve of </w:t>
            </w:r>
            <w:r w:rsidRPr="009E38D9">
              <w:rPr>
                <w:b/>
                <w:lang w:val="en-US"/>
              </w:rPr>
              <w:t>A</w:t>
            </w:r>
            <w:r w:rsidRPr="00E15D14">
              <w:rPr>
                <w:lang w:val="en-US"/>
              </w:rPr>
              <w:t xml:space="preserve"> targeting IFN </w:t>
            </w:r>
            <w:r>
              <w:rPr>
                <w:lang w:val="en-US"/>
              </w:rPr>
              <w:t xml:space="preserve">(dots) </w:t>
            </w:r>
            <w:r w:rsidRPr="00E15D14">
              <w:rPr>
                <w:lang w:val="en-US"/>
              </w:rPr>
              <w:t>and the control dye (</w:t>
            </w:r>
            <w:r>
              <w:rPr>
                <w:lang w:val="en-US"/>
              </w:rPr>
              <w:t>crosses</w:t>
            </w:r>
            <w:r w:rsidRPr="00E15D14">
              <w:rPr>
                <w:lang w:val="en-US"/>
              </w:rPr>
              <w:t>)</w:t>
            </w:r>
            <w:r>
              <w:rPr>
                <w:lang w:val="en-US"/>
              </w:rPr>
              <w:t xml:space="preserve"> as determined by MST</w:t>
            </w:r>
            <w:r w:rsidR="00671BBC">
              <w:rPr>
                <w:lang w:val="en-US"/>
              </w:rPr>
              <w:t>:</w:t>
            </w:r>
            <w:r>
              <w:rPr>
                <w:lang w:val="en-US"/>
              </w:rPr>
              <w:t xml:space="preserve"> Kd=108 µM </w:t>
            </w:r>
            <w:r>
              <w:rPr>
                <w:rFonts w:cstheme="minorHAnsi"/>
                <w:lang w:val="en-US"/>
              </w:rPr>
              <w:t>±</w:t>
            </w:r>
            <w:r>
              <w:rPr>
                <w:lang w:val="en-US"/>
              </w:rPr>
              <w:t xml:space="preserve"> 24 µM. </w:t>
            </w:r>
            <w:r w:rsidRPr="009258DA">
              <w:rPr>
                <w:lang w:val="en-US"/>
              </w:rPr>
              <w:t>50 mM Pi, pH 7.0, 0.05% Tween 20</w:t>
            </w:r>
            <w:r w:rsidRPr="000A7C0E">
              <w:rPr>
                <w:lang w:val="en-US"/>
              </w:rPr>
              <w:t>, N=3</w:t>
            </w:r>
            <w:r>
              <w:rPr>
                <w:lang w:val="en-US"/>
              </w:rPr>
              <w:t>, IR intensity=high</w:t>
            </w:r>
            <w:r w:rsidRPr="009258DA">
              <w:rPr>
                <w:lang w:val="en-US"/>
              </w:rPr>
              <w:t>.</w:t>
            </w:r>
            <w:r w:rsidR="00A43FBC">
              <w:rPr>
                <w:lang w:val="en-US"/>
              </w:rPr>
              <w:t xml:space="preserve"> Error bars represent the standard deviation of the measurement of three independent samples. </w:t>
            </w:r>
            <w:r>
              <w:rPr>
                <w:lang w:val="en-US"/>
              </w:rPr>
              <w:t xml:space="preserve"> </w:t>
            </w:r>
            <w:r w:rsidR="003F62D8" w:rsidRPr="003F62D8">
              <w:rPr>
                <w:b/>
                <w:lang w:val="en-US"/>
              </w:rPr>
              <w:t>b</w:t>
            </w:r>
            <w:r w:rsidR="003F62D8">
              <w:rPr>
                <w:b/>
                <w:lang w:val="en-US"/>
              </w:rPr>
              <w:t>:</w:t>
            </w:r>
            <w:r w:rsidRPr="00E15D14">
              <w:rPr>
                <w:lang w:val="en-US"/>
              </w:rPr>
              <w:t xml:space="preserve"> Dose response curve of </w:t>
            </w:r>
            <w:r>
              <w:rPr>
                <w:lang w:val="en-US"/>
              </w:rPr>
              <w:t>L-arginine</w:t>
            </w:r>
            <w:r w:rsidRPr="00E15D14">
              <w:rPr>
                <w:lang w:val="en-US"/>
              </w:rPr>
              <w:t xml:space="preserve"> targeting IFN (</w:t>
            </w:r>
            <w:r>
              <w:rPr>
                <w:lang w:val="en-US"/>
              </w:rPr>
              <w:t>dots</w:t>
            </w:r>
            <w:r w:rsidRPr="00E15D14">
              <w:rPr>
                <w:lang w:val="en-US"/>
              </w:rPr>
              <w:t>) and the control dye (</w:t>
            </w:r>
            <w:r>
              <w:rPr>
                <w:lang w:val="en-US"/>
              </w:rPr>
              <w:t>crosses</w:t>
            </w:r>
            <w:r w:rsidRPr="00E15D14">
              <w:rPr>
                <w:lang w:val="en-US"/>
              </w:rPr>
              <w:t>)</w:t>
            </w:r>
            <w:r>
              <w:rPr>
                <w:lang w:val="en-US"/>
              </w:rPr>
              <w:t xml:space="preserve"> as determined by MST</w:t>
            </w:r>
            <w:r w:rsidR="00671BBC">
              <w:rPr>
                <w:lang w:val="en-US"/>
              </w:rPr>
              <w:t>:</w:t>
            </w:r>
            <w:r>
              <w:rPr>
                <w:lang w:val="en-US"/>
              </w:rPr>
              <w:t xml:space="preserve"> Kd=657 µM </w:t>
            </w:r>
            <w:r>
              <w:rPr>
                <w:rFonts w:cstheme="minorHAnsi"/>
                <w:lang w:val="en-US"/>
              </w:rPr>
              <w:t>±</w:t>
            </w:r>
            <w:r>
              <w:rPr>
                <w:lang w:val="en-US"/>
              </w:rPr>
              <w:t xml:space="preserve"> 211 µM. </w:t>
            </w:r>
            <w:r w:rsidRPr="009258DA">
              <w:rPr>
                <w:lang w:val="en-US"/>
              </w:rPr>
              <w:t>50 mM Pi, pH 7.0, 0.05% Tween 20</w:t>
            </w:r>
            <w:r w:rsidRPr="000A7C0E">
              <w:rPr>
                <w:lang w:val="en-US"/>
              </w:rPr>
              <w:t>, N=3</w:t>
            </w:r>
            <w:r>
              <w:rPr>
                <w:lang w:val="en-US"/>
              </w:rPr>
              <w:t>, IR intensity=high</w:t>
            </w:r>
            <w:r w:rsidRPr="009258DA">
              <w:rPr>
                <w:lang w:val="en-US"/>
              </w:rPr>
              <w:t>.</w:t>
            </w:r>
            <w:r>
              <w:rPr>
                <w:lang w:val="en-US"/>
              </w:rPr>
              <w:t xml:space="preserve"> </w:t>
            </w:r>
            <w:r w:rsidR="00A43FBC">
              <w:rPr>
                <w:lang w:val="en-US"/>
              </w:rPr>
              <w:t>Error bars represent the standard deviation</w:t>
            </w:r>
            <w:r w:rsidR="00671BBC">
              <w:rPr>
                <w:lang w:val="en-US"/>
              </w:rPr>
              <w:t>s</w:t>
            </w:r>
            <w:r w:rsidR="00A43FBC">
              <w:rPr>
                <w:lang w:val="en-US"/>
              </w:rPr>
              <w:t xml:space="preserve"> of the measurement of three independent samples. </w:t>
            </w:r>
            <w:r w:rsidR="003F62D8">
              <w:rPr>
                <w:b/>
                <w:lang w:val="en-US"/>
              </w:rPr>
              <w:t>c:</w:t>
            </w:r>
            <w:r>
              <w:rPr>
                <w:lang w:val="en-US"/>
              </w:rPr>
              <w:t xml:space="preserve"> </w:t>
            </w:r>
            <w:r w:rsidRPr="00AD00CB">
              <w:rPr>
                <w:lang w:val="en-US"/>
              </w:rPr>
              <w:t xml:space="preserve">Black curve: Free </w:t>
            </w:r>
            <w:r w:rsidR="00671BBC">
              <w:rPr>
                <w:lang w:val="en-US"/>
              </w:rPr>
              <w:t>e</w:t>
            </w:r>
            <w:r w:rsidRPr="00AD00CB">
              <w:rPr>
                <w:lang w:val="en-US"/>
              </w:rPr>
              <w:t xml:space="preserve">nergy of </w:t>
            </w:r>
            <w:r w:rsidR="00671BBC">
              <w:rPr>
                <w:lang w:val="en-US"/>
              </w:rPr>
              <w:t>b</w:t>
            </w:r>
            <w:r w:rsidRPr="00AD00CB">
              <w:rPr>
                <w:lang w:val="en-US"/>
              </w:rPr>
              <w:t xml:space="preserve">inding as calculated by </w:t>
            </w:r>
            <w:r w:rsidRPr="00AD00CB">
              <w:rPr>
                <w:noProof/>
                <w:lang w:val="en-US"/>
              </w:rPr>
              <w:t xml:space="preserve">the APR-US method. </w:t>
            </w:r>
            <w:r w:rsidR="00A43FBC">
              <w:rPr>
                <w:noProof/>
                <w:lang w:val="en-US"/>
              </w:rPr>
              <w:t xml:space="preserve">Error bars </w:t>
            </w:r>
            <w:r w:rsidR="00A43FBC">
              <w:rPr>
                <w:noProof/>
                <w:lang w:val="en-US"/>
              </w:rPr>
              <w:lastRenderedPageBreak/>
              <w:t xml:space="preserve">represent the standard error of the mean. </w:t>
            </w:r>
            <w:r w:rsidRPr="00AD00CB">
              <w:rPr>
                <w:noProof/>
                <w:lang w:val="en-US"/>
              </w:rPr>
              <w:t xml:space="preserve">Grey </w:t>
            </w:r>
            <w:r w:rsidR="00671BBC">
              <w:rPr>
                <w:noProof/>
                <w:lang w:val="en-US"/>
              </w:rPr>
              <w:t>bar</w:t>
            </w:r>
            <w:r w:rsidRPr="00AD00CB">
              <w:rPr>
                <w:noProof/>
                <w:lang w:val="en-US"/>
              </w:rPr>
              <w:t>: Free energy of binding as determined by MST.</w:t>
            </w:r>
            <w:r w:rsidR="00A43FBC">
              <w:rPr>
                <w:noProof/>
                <w:lang w:val="en-US"/>
              </w:rPr>
              <w:t xml:space="preserve"> </w:t>
            </w:r>
            <w:r w:rsidRPr="006E311E">
              <w:rPr>
                <w:noProof/>
                <w:lang w:val="en-US"/>
              </w:rPr>
              <w:t xml:space="preserve">The </w:t>
            </w:r>
            <w:r w:rsidR="00671BBC">
              <w:rPr>
                <w:noProof/>
                <w:lang w:val="en-US"/>
              </w:rPr>
              <w:t>bar’s</w:t>
            </w:r>
            <w:r w:rsidRPr="006E311E">
              <w:rPr>
                <w:noProof/>
                <w:lang w:val="en-US"/>
              </w:rPr>
              <w:t xml:space="preserve"> thickness indicates the 68% confidence range</w:t>
            </w:r>
            <w:r w:rsidR="007540AA">
              <w:rPr>
                <w:noProof/>
                <w:lang w:val="en-US"/>
              </w:rPr>
              <w:t>.</w:t>
            </w:r>
          </w:p>
        </w:tc>
      </w:tr>
    </w:tbl>
    <w:p w14:paraId="3CA3A74F" w14:textId="77777777" w:rsidR="00670B10" w:rsidRDefault="00670B10" w:rsidP="00F13BDE">
      <w:pPr>
        <w:rPr>
          <w:lang w:val="en-US"/>
        </w:rPr>
        <w:sectPr w:rsidR="00670B10">
          <w:pgSz w:w="11906" w:h="16838"/>
          <w:pgMar w:top="1417" w:right="1417" w:bottom="1134" w:left="1417" w:header="708" w:footer="708" w:gutter="0"/>
          <w:cols w:space="708"/>
          <w:docGrid w:linePitch="360"/>
        </w:sectPr>
      </w:pPr>
    </w:p>
    <w:p w14:paraId="276CEEB2" w14:textId="4F16E6DE" w:rsidR="00F13BDE" w:rsidRPr="00F13BDE" w:rsidRDefault="00F13BDE" w:rsidP="00F13BDE">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
        <w:gridCol w:w="26"/>
        <w:gridCol w:w="470"/>
        <w:gridCol w:w="3653"/>
        <w:gridCol w:w="335"/>
        <w:gridCol w:w="4269"/>
        <w:gridCol w:w="10"/>
      </w:tblGrid>
      <w:tr w:rsidR="00C51F85" w:rsidRPr="00670B10" w14:paraId="5F9AC2BA" w14:textId="77777777" w:rsidTr="00670B10">
        <w:tc>
          <w:tcPr>
            <w:tcW w:w="335" w:type="dxa"/>
            <w:gridSpan w:val="2"/>
          </w:tcPr>
          <w:p w14:paraId="630294D4" w14:textId="55D3817B" w:rsidR="00C51F85" w:rsidRPr="00C51F85" w:rsidRDefault="00C51F85" w:rsidP="00025094">
            <w:pPr>
              <w:spacing w:line="480" w:lineRule="auto"/>
              <w:jc w:val="center"/>
              <w:rPr>
                <w:b/>
                <w:noProof/>
                <w:lang w:val="en-US"/>
              </w:rPr>
            </w:pPr>
            <w:r w:rsidRPr="00C51F85">
              <w:rPr>
                <w:b/>
                <w:noProof/>
                <w:lang w:val="en-US"/>
              </w:rPr>
              <w:t>a</w:t>
            </w:r>
          </w:p>
        </w:tc>
        <w:tc>
          <w:tcPr>
            <w:tcW w:w="8737" w:type="dxa"/>
            <w:gridSpan w:val="5"/>
          </w:tcPr>
          <w:p w14:paraId="64D52289" w14:textId="1D83C3FD" w:rsidR="00C51F85" w:rsidRDefault="00C51F85" w:rsidP="00025094">
            <w:pPr>
              <w:spacing w:line="480" w:lineRule="auto"/>
              <w:jc w:val="center"/>
              <w:rPr>
                <w:lang w:val="en-US"/>
              </w:rPr>
            </w:pPr>
            <w:r>
              <w:rPr>
                <w:noProof/>
                <w:lang w:val="en-US"/>
              </w:rPr>
              <w:drawing>
                <wp:anchor distT="0" distB="0" distL="114300" distR="114300" simplePos="0" relativeHeight="251729920" behindDoc="0" locked="0" layoutInCell="1" allowOverlap="1" wp14:anchorId="145951F9" wp14:editId="25056E69">
                  <wp:simplePos x="0" y="0"/>
                  <wp:positionH relativeFrom="column">
                    <wp:posOffset>647700</wp:posOffset>
                  </wp:positionH>
                  <wp:positionV relativeFrom="paragraph">
                    <wp:posOffset>0</wp:posOffset>
                  </wp:positionV>
                  <wp:extent cx="3771900" cy="2421890"/>
                  <wp:effectExtent l="0" t="0" r="0" b="0"/>
                  <wp:wrapSquare wrapText="bothSides"/>
                  <wp:docPr id="11" name="Picture 11" descr="E:\Dropbox\PhD\Documents\Manuscripts\Figs\FlowCam_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ropbox\PhD\Documents\Manuscripts\Figs\FlowCam_f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71900" cy="24218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51F85" w14:paraId="64BEA8A5" w14:textId="77777777" w:rsidTr="00670B10">
        <w:tc>
          <w:tcPr>
            <w:tcW w:w="335" w:type="dxa"/>
            <w:gridSpan w:val="2"/>
          </w:tcPr>
          <w:p w14:paraId="2CA52043" w14:textId="2E1B2F0A" w:rsidR="00C51F85" w:rsidRPr="00C51F85" w:rsidRDefault="00C51F85" w:rsidP="00025094">
            <w:pPr>
              <w:spacing w:line="480" w:lineRule="auto"/>
              <w:jc w:val="center"/>
              <w:rPr>
                <w:b/>
                <w:noProof/>
                <w:lang w:val="en-US"/>
              </w:rPr>
            </w:pPr>
            <w:r w:rsidRPr="00C51F85">
              <w:rPr>
                <w:b/>
                <w:noProof/>
                <w:lang w:val="en-US"/>
              </w:rPr>
              <w:t>b</w:t>
            </w:r>
          </w:p>
        </w:tc>
        <w:tc>
          <w:tcPr>
            <w:tcW w:w="8737" w:type="dxa"/>
            <w:gridSpan w:val="5"/>
          </w:tcPr>
          <w:p w14:paraId="4774BE8B" w14:textId="751473A3" w:rsidR="00C51F85" w:rsidRDefault="00C51F85" w:rsidP="00025094">
            <w:pPr>
              <w:spacing w:line="480" w:lineRule="auto"/>
              <w:jc w:val="center"/>
              <w:rPr>
                <w:noProof/>
                <w:lang w:val="en-US"/>
              </w:rPr>
            </w:pPr>
            <w:r>
              <w:rPr>
                <w:noProof/>
                <w:lang w:val="en-US"/>
              </w:rPr>
              <w:drawing>
                <wp:anchor distT="0" distB="0" distL="114300" distR="114300" simplePos="0" relativeHeight="251730944" behindDoc="0" locked="0" layoutInCell="1" allowOverlap="1" wp14:anchorId="45924021" wp14:editId="604CB84C">
                  <wp:simplePos x="0" y="0"/>
                  <wp:positionH relativeFrom="column">
                    <wp:posOffset>409575</wp:posOffset>
                  </wp:positionH>
                  <wp:positionV relativeFrom="paragraph">
                    <wp:posOffset>4445</wp:posOffset>
                  </wp:positionV>
                  <wp:extent cx="4229100" cy="2098675"/>
                  <wp:effectExtent l="0" t="0" r="0" b="0"/>
                  <wp:wrapSquare wrapText="bothSides"/>
                  <wp:docPr id="16" name="Picture 16" descr="E:\Dropbox\PhD\Documents\Manuscripts\Figs\F_T\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ropbox\PhD\Documents\Manuscripts\Figs\F_T\imag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29100" cy="2098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51F85" w14:paraId="6B17DDBA" w14:textId="77777777" w:rsidTr="00670B10">
        <w:tc>
          <w:tcPr>
            <w:tcW w:w="309" w:type="dxa"/>
          </w:tcPr>
          <w:p w14:paraId="43A2A39F" w14:textId="464AD00B" w:rsidR="00C51F85" w:rsidRPr="00C51F85" w:rsidRDefault="001B41AE" w:rsidP="00F13BDE">
            <w:pPr>
              <w:rPr>
                <w:b/>
                <w:noProof/>
                <w:color w:val="FF0000"/>
                <w:lang w:val="en-US"/>
              </w:rPr>
            </w:pPr>
            <w:r>
              <w:rPr>
                <w:b/>
                <w:noProof/>
                <w:lang w:val="en-US"/>
              </w:rPr>
              <w:t>c</w:t>
            </w:r>
          </w:p>
        </w:tc>
        <w:tc>
          <w:tcPr>
            <w:tcW w:w="4149" w:type="dxa"/>
            <w:gridSpan w:val="3"/>
          </w:tcPr>
          <w:p w14:paraId="00D29725" w14:textId="4ED45A8D" w:rsidR="00C51F85" w:rsidRDefault="00C51F85" w:rsidP="00F13BDE">
            <w:pPr>
              <w:rPr>
                <w:lang w:val="en-US"/>
              </w:rPr>
            </w:pPr>
            <w:r>
              <w:rPr>
                <w:noProof/>
                <w:color w:val="FF0000"/>
                <w:lang w:val="en-US"/>
              </w:rPr>
              <w:drawing>
                <wp:anchor distT="0" distB="0" distL="114300" distR="114300" simplePos="0" relativeHeight="251703296" behindDoc="0" locked="0" layoutInCell="1" allowOverlap="1" wp14:anchorId="7C05C5E9" wp14:editId="0AFA672B">
                  <wp:simplePos x="0" y="0"/>
                  <wp:positionH relativeFrom="column">
                    <wp:posOffset>-64770</wp:posOffset>
                  </wp:positionH>
                  <wp:positionV relativeFrom="paragraph">
                    <wp:posOffset>175260</wp:posOffset>
                  </wp:positionV>
                  <wp:extent cx="2343150" cy="2343150"/>
                  <wp:effectExtent l="0" t="0" r="0" b="0"/>
                  <wp:wrapSquare wrapText="bothSides"/>
                  <wp:docPr id="22" name="Picture 22" descr="Z:\Dropbox\PhD\Documents\Manuscripts\virtual_screen\Figs\AS\IFN_ES_2_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Dropbox\PhD\Documents\Manuscripts\virtual_screen\Figs\AS\IFN_ES_2_AS.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5" w:type="dxa"/>
          </w:tcPr>
          <w:p w14:paraId="086C5B5A" w14:textId="30147362" w:rsidR="00C51F85" w:rsidRPr="00C51F85" w:rsidRDefault="001B41AE" w:rsidP="00F13BDE">
            <w:pPr>
              <w:rPr>
                <w:b/>
                <w:noProof/>
                <w:color w:val="FF0000"/>
                <w:lang w:val="en-US"/>
              </w:rPr>
            </w:pPr>
            <w:r>
              <w:rPr>
                <w:b/>
                <w:noProof/>
                <w:lang w:val="en-US"/>
              </w:rPr>
              <w:t>d</w:t>
            </w:r>
          </w:p>
        </w:tc>
        <w:tc>
          <w:tcPr>
            <w:tcW w:w="4279" w:type="dxa"/>
            <w:gridSpan w:val="2"/>
          </w:tcPr>
          <w:p w14:paraId="29FD0790" w14:textId="0098FE9C" w:rsidR="00C51F85" w:rsidRDefault="00C51F85" w:rsidP="00F13BDE">
            <w:pPr>
              <w:rPr>
                <w:lang w:val="en-US"/>
              </w:rPr>
            </w:pPr>
            <w:r>
              <w:rPr>
                <w:noProof/>
                <w:color w:val="FF0000"/>
                <w:lang w:val="en-US"/>
              </w:rPr>
              <w:drawing>
                <wp:anchor distT="0" distB="0" distL="114300" distR="114300" simplePos="0" relativeHeight="251704320" behindDoc="0" locked="0" layoutInCell="1" allowOverlap="1" wp14:anchorId="452053E9" wp14:editId="2F94AFE6">
                  <wp:simplePos x="0" y="0"/>
                  <wp:positionH relativeFrom="margin">
                    <wp:posOffset>-65404</wp:posOffset>
                  </wp:positionH>
                  <wp:positionV relativeFrom="paragraph">
                    <wp:posOffset>175261</wp:posOffset>
                  </wp:positionV>
                  <wp:extent cx="2413262" cy="2895600"/>
                  <wp:effectExtent l="0" t="0" r="6350" b="0"/>
                  <wp:wrapSquare wrapText="bothSides"/>
                  <wp:docPr id="23" name="Picture 23" descr="Z:\Dropbox\PhD\Documents\Manuscripts\virtual_screen\Figs\AS\FlowCam_as_ex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Dropbox\PhD\Documents\Manuscripts\virtual_screen\Figs\AS\FlowCam_as_exc.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19113" cy="29026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30950" w14:paraId="3E1BF5DE" w14:textId="77777777" w:rsidTr="002A4676">
        <w:trPr>
          <w:gridAfter w:val="1"/>
          <w:wAfter w:w="10" w:type="dxa"/>
        </w:trPr>
        <w:tc>
          <w:tcPr>
            <w:tcW w:w="805" w:type="dxa"/>
            <w:gridSpan w:val="3"/>
          </w:tcPr>
          <w:p w14:paraId="296FCA02" w14:textId="1F471CF7" w:rsidR="00530950" w:rsidRPr="00530950" w:rsidRDefault="00DA4181" w:rsidP="00025094">
            <w:pPr>
              <w:spacing w:line="480" w:lineRule="auto"/>
              <w:jc w:val="center"/>
              <w:rPr>
                <w:b/>
                <w:noProof/>
                <w:lang w:val="en-US"/>
              </w:rPr>
            </w:pPr>
            <w:r>
              <w:rPr>
                <w:b/>
                <w:noProof/>
                <w:lang w:val="en-US"/>
              </w:rPr>
              <w:lastRenderedPageBreak/>
              <w:t>e</w:t>
            </w:r>
          </w:p>
        </w:tc>
        <w:tc>
          <w:tcPr>
            <w:tcW w:w="8257" w:type="dxa"/>
            <w:gridSpan w:val="3"/>
          </w:tcPr>
          <w:p w14:paraId="0C8DFC7D" w14:textId="3977CA2D" w:rsidR="00530950" w:rsidRDefault="00F40940" w:rsidP="00025094">
            <w:pPr>
              <w:spacing w:line="480" w:lineRule="auto"/>
              <w:jc w:val="center"/>
              <w:rPr>
                <w:noProof/>
                <w:lang w:val="en-US"/>
              </w:rPr>
            </w:pPr>
            <w:r>
              <w:rPr>
                <w:noProof/>
                <w:lang w:val="en-US"/>
              </w:rPr>
              <w:drawing>
                <wp:inline distT="0" distB="0" distL="0" distR="0" wp14:anchorId="2683458A" wp14:editId="4393E163">
                  <wp:extent cx="4324350" cy="2151418"/>
                  <wp:effectExtent l="0" t="0" r="0" b="1270"/>
                  <wp:docPr id="10" name="Picture 10" descr="Z:\Dropbox\PhD\Documents\Manuscripts\virtual_screen\Figs\AS\FlowCam_AS_Gly-L-As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Dropbox\PhD\Documents\Manuscripts\virtual_screen\Figs\AS\FlowCam_AS_Gly-L-Asn.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31462" cy="2154956"/>
                          </a:xfrm>
                          <a:prstGeom prst="rect">
                            <a:avLst/>
                          </a:prstGeom>
                          <a:noFill/>
                          <a:ln>
                            <a:noFill/>
                          </a:ln>
                        </pic:spPr>
                      </pic:pic>
                    </a:graphicData>
                  </a:graphic>
                </wp:inline>
              </w:drawing>
            </w:r>
          </w:p>
        </w:tc>
      </w:tr>
    </w:tbl>
    <w:p w14:paraId="5CB2C2B1" w14:textId="77777777" w:rsidR="00025094" w:rsidRDefault="00025094" w:rsidP="00025094">
      <w:pPr>
        <w:keepNext/>
        <w:spacing w:line="480" w:lineRule="auto"/>
      </w:pPr>
    </w:p>
    <w:p w14:paraId="50E3EBAC" w14:textId="515115AF" w:rsidR="00025094" w:rsidRPr="00A43FBC" w:rsidRDefault="00670B10" w:rsidP="00670B10">
      <w:pPr>
        <w:pStyle w:val="Caption"/>
        <w:spacing w:line="480" w:lineRule="auto"/>
        <w:jc w:val="center"/>
        <w:rPr>
          <w:color w:val="FF0000"/>
          <w:lang w:val="en-US"/>
        </w:rPr>
      </w:pPr>
      <w:bookmarkStart w:id="10" w:name="_Ref449664"/>
      <w:bookmarkStart w:id="11" w:name="_Ref530788968"/>
      <w:r w:rsidRPr="00997610">
        <w:rPr>
          <w:lang w:val="en-US"/>
        </w:rPr>
        <w:t xml:space="preserve">Figure </w:t>
      </w:r>
      <w:r>
        <w:fldChar w:fldCharType="begin"/>
      </w:r>
      <w:r w:rsidRPr="00997610">
        <w:rPr>
          <w:lang w:val="en-US"/>
        </w:rPr>
        <w:instrText xml:space="preserve"> SEQ Figure \* ARABIC </w:instrText>
      </w:r>
      <w:r>
        <w:fldChar w:fldCharType="separate"/>
      </w:r>
      <w:r w:rsidR="00941055">
        <w:rPr>
          <w:noProof/>
          <w:lang w:val="en-US"/>
        </w:rPr>
        <w:t>4</w:t>
      </w:r>
      <w:r>
        <w:fldChar w:fldCharType="end"/>
      </w:r>
      <w:bookmarkEnd w:id="10"/>
      <w:r w:rsidRPr="00997610">
        <w:rPr>
          <w:lang w:val="en-US"/>
        </w:rPr>
        <w:t>:</w:t>
      </w:r>
      <w:r>
        <w:rPr>
          <w:lang w:val="en-US"/>
        </w:rPr>
        <w:t xml:space="preserve"> </w:t>
      </w:r>
      <w:r>
        <w:rPr>
          <w:b/>
          <w:lang w:val="en-US"/>
        </w:rPr>
        <w:t>Forced degradation studies</w:t>
      </w:r>
      <w:r w:rsidRPr="006E311E">
        <w:rPr>
          <w:b/>
          <w:lang w:val="en-US"/>
        </w:rPr>
        <w:t>.</w:t>
      </w:r>
      <w:r>
        <w:rPr>
          <w:lang w:val="en-US"/>
        </w:rPr>
        <w:t xml:space="preserve"> </w:t>
      </w:r>
      <w:r w:rsidRPr="00997610">
        <w:rPr>
          <w:lang w:val="en-US"/>
        </w:rPr>
        <w:t xml:space="preserve"> </w:t>
      </w:r>
      <w:r w:rsidRPr="00C51F85">
        <w:rPr>
          <w:b/>
          <w:lang w:val="en-US"/>
        </w:rPr>
        <w:t>a</w:t>
      </w:r>
      <w:r w:rsidRPr="00997610">
        <w:rPr>
          <w:lang w:val="en-US"/>
        </w:rPr>
        <w:t xml:space="preserve">: Count of particles </w:t>
      </w:r>
      <w:r>
        <w:rPr>
          <w:lang w:val="en-US"/>
        </w:rPr>
        <w:t>≥</w:t>
      </w:r>
      <w:r w:rsidRPr="00997610">
        <w:rPr>
          <w:lang w:val="en-US"/>
        </w:rPr>
        <w:t xml:space="preserve"> 1 µm after three cycles of freezing and thawing</w:t>
      </w:r>
      <w:r>
        <w:rPr>
          <w:lang w:val="en-US"/>
        </w:rPr>
        <w:t xml:space="preserve"> of IFN formulations</w:t>
      </w:r>
      <w:r w:rsidRPr="00997610">
        <w:rPr>
          <w:lang w:val="en-US"/>
        </w:rPr>
        <w:t xml:space="preserve">. </w:t>
      </w:r>
      <w:r w:rsidRPr="00C51F85">
        <w:rPr>
          <w:b/>
          <w:lang w:val="en-US"/>
        </w:rPr>
        <w:t>b</w:t>
      </w:r>
      <w:r w:rsidRPr="00997610">
        <w:rPr>
          <w:lang w:val="en-US"/>
        </w:rPr>
        <w:t>: Soluble high molecular weight species after three cycles of freezin</w:t>
      </w:r>
      <w:r>
        <w:rPr>
          <w:lang w:val="en-US"/>
        </w:rPr>
        <w:t>g</w:t>
      </w:r>
      <w:r w:rsidRPr="00997610">
        <w:rPr>
          <w:lang w:val="en-US"/>
        </w:rPr>
        <w:t xml:space="preserve"> and thawing</w:t>
      </w:r>
      <w:r>
        <w:rPr>
          <w:lang w:val="en-US"/>
        </w:rPr>
        <w:t xml:space="preserve"> of IFN formulations. A-E corresponds to the compounds from </w:t>
      </w:r>
      <w:r>
        <w:rPr>
          <w:lang w:val="en-US"/>
        </w:rPr>
        <w:fldChar w:fldCharType="begin"/>
      </w:r>
      <w:r>
        <w:rPr>
          <w:lang w:val="en-US"/>
        </w:rPr>
        <w:instrText xml:space="preserve"> REF _Ref510885891 \h  \* MERGEFORMAT </w:instrText>
      </w:r>
      <w:r>
        <w:rPr>
          <w:lang w:val="en-US"/>
        </w:rPr>
      </w:r>
      <w:r>
        <w:rPr>
          <w:lang w:val="en-US"/>
        </w:rPr>
        <w:fldChar w:fldCharType="separate"/>
      </w:r>
      <w:r w:rsidR="00941055" w:rsidRPr="0071707D">
        <w:rPr>
          <w:lang w:val="en-US"/>
        </w:rPr>
        <w:t xml:space="preserve">Table </w:t>
      </w:r>
      <w:r w:rsidR="00941055">
        <w:rPr>
          <w:noProof/>
          <w:lang w:val="en-US"/>
        </w:rPr>
        <w:t>1</w:t>
      </w:r>
      <w:r>
        <w:rPr>
          <w:lang w:val="en-US"/>
        </w:rPr>
        <w:fldChar w:fldCharType="end"/>
      </w:r>
      <w:r w:rsidRPr="00997610">
        <w:rPr>
          <w:lang w:val="en-US"/>
        </w:rPr>
        <w:t>.</w:t>
      </w:r>
      <w:r>
        <w:rPr>
          <w:lang w:val="en-US"/>
        </w:rPr>
        <w:t xml:space="preserve"> </w:t>
      </w:r>
      <w:r>
        <w:rPr>
          <w:b/>
          <w:lang w:val="en-US"/>
        </w:rPr>
        <w:t>c</w:t>
      </w:r>
      <w:r>
        <w:rPr>
          <w:lang w:val="en-US"/>
        </w:rPr>
        <w:t xml:space="preserve">: Dependence of sub-visible particle count on </w:t>
      </w:r>
      <w:r w:rsidRPr="001A5F6E">
        <w:rPr>
          <w:b/>
          <w:lang w:val="en-US"/>
        </w:rPr>
        <w:t>A</w:t>
      </w:r>
      <w:r>
        <w:rPr>
          <w:lang w:val="en-US"/>
        </w:rPr>
        <w:t xml:space="preserve"> concentration after horizontal shaking. The line is a guide for the eye. </w:t>
      </w:r>
      <w:r>
        <w:rPr>
          <w:b/>
          <w:lang w:val="en-US"/>
        </w:rPr>
        <w:t>d</w:t>
      </w:r>
      <w:r>
        <w:rPr>
          <w:lang w:val="en-US"/>
        </w:rPr>
        <w:t xml:space="preserve">: Sub-visible particle count for </w:t>
      </w:r>
      <w:r w:rsidRPr="001A5F6E">
        <w:rPr>
          <w:b/>
          <w:lang w:val="en-US"/>
        </w:rPr>
        <w:t>A</w:t>
      </w:r>
      <w:r>
        <w:rPr>
          <w:lang w:val="en-US"/>
        </w:rPr>
        <w:t xml:space="preserve"> and standard excipients at 6.25 mM after horizontal shaking.</w:t>
      </w:r>
      <w:bookmarkEnd w:id="11"/>
      <w:r w:rsidR="00DA4181">
        <w:rPr>
          <w:b/>
          <w:lang w:val="en-US"/>
        </w:rPr>
        <w:t xml:space="preserve"> e</w:t>
      </w:r>
      <w:r w:rsidR="00521950">
        <w:rPr>
          <w:b/>
          <w:lang w:val="en-US"/>
        </w:rPr>
        <w:t>:</w:t>
      </w:r>
      <w:r w:rsidR="00025094" w:rsidRPr="00C02E03">
        <w:rPr>
          <w:lang w:val="en-US"/>
        </w:rPr>
        <w:t xml:space="preserve"> </w:t>
      </w:r>
      <w:r w:rsidR="00025094">
        <w:rPr>
          <w:lang w:val="en-US"/>
        </w:rPr>
        <w:t>Sub-visible particle count after submitting a formulation of IFN to 60 h of horizontal agitation stress</w:t>
      </w:r>
      <w:r w:rsidR="00A43FBC">
        <w:rPr>
          <w:lang w:val="en-US"/>
        </w:rPr>
        <w:t>. Error bars represent the standard deviation</w:t>
      </w:r>
      <w:r w:rsidR="007540AA">
        <w:rPr>
          <w:lang w:val="en-US"/>
        </w:rPr>
        <w:t>s</w:t>
      </w:r>
      <w:r w:rsidR="00A43FBC">
        <w:rPr>
          <w:lang w:val="en-US"/>
        </w:rPr>
        <w:t xml:space="preserve"> of the measurement</w:t>
      </w:r>
      <w:r w:rsidR="007540AA">
        <w:rPr>
          <w:lang w:val="en-US"/>
        </w:rPr>
        <w:t>s</w:t>
      </w:r>
      <w:r w:rsidR="00A43FBC">
        <w:rPr>
          <w:lang w:val="en-US"/>
        </w:rPr>
        <w:t xml:space="preserve"> of three independent samples.</w:t>
      </w:r>
    </w:p>
    <w:p w14:paraId="1D410D3B" w14:textId="77777777" w:rsidR="00A35DD4" w:rsidRPr="00844025" w:rsidRDefault="00A35DD4" w:rsidP="00A35DD4">
      <w:pPr>
        <w:rPr>
          <w:b/>
          <w:lang w:val="en-US"/>
        </w:rPr>
        <w:sectPr w:rsidR="00A35DD4" w:rsidRPr="00844025">
          <w:footerReference w:type="default" r:id="rId41"/>
          <w:pgSz w:w="12240" w:h="15840"/>
          <w:pgMar w:top="1440" w:right="1440" w:bottom="1440" w:left="1440" w:header="720" w:footer="720" w:gutter="0"/>
          <w:cols w:space="720"/>
          <w:docGrid w:linePitch="360"/>
        </w:sectPr>
      </w:pPr>
    </w:p>
    <w:p w14:paraId="1E2B6AEC" w14:textId="60DD1A26" w:rsidR="00A35DD4" w:rsidRDefault="00A35DD4" w:rsidP="00A35DD4">
      <w:pPr>
        <w:rPr>
          <w:b/>
        </w:rPr>
      </w:pPr>
      <w:r>
        <w:rPr>
          <w:b/>
        </w:rPr>
        <w:lastRenderedPageBreak/>
        <w:t>Supporting</w:t>
      </w:r>
      <w:r w:rsidRPr="007B0EAC">
        <w:rPr>
          <w:b/>
        </w:rPr>
        <w:t xml:space="preserve"> Information</w:t>
      </w:r>
    </w:p>
    <w:p w14:paraId="02B1ABF1" w14:textId="77777777" w:rsidR="00A35DD4" w:rsidRDefault="00A35DD4" w:rsidP="00A35DD4">
      <w:pPr>
        <w:rPr>
          <w:b/>
        </w:rPr>
      </w:pPr>
    </w:p>
    <w:p w14:paraId="09EC70DE" w14:textId="77777777" w:rsidR="004F20FC" w:rsidRDefault="00A35DD4" w:rsidP="004F20FC">
      <w:pPr>
        <w:keepNext/>
        <w:spacing w:line="480" w:lineRule="auto"/>
        <w:jc w:val="center"/>
      </w:pPr>
      <w:r w:rsidRPr="002A43BC">
        <w:rPr>
          <w:noProof/>
        </w:rPr>
        <w:drawing>
          <wp:inline distT="0" distB="0" distL="0" distR="0" wp14:anchorId="1589376D" wp14:editId="4C2015C2">
            <wp:extent cx="2777706" cy="2777706"/>
            <wp:effectExtent l="0" t="0" r="3810" b="3810"/>
            <wp:docPr id="12" name="Picture 12" descr="E:\Dropbox\PhD\Documents\Manuscripts\Figs\SLS\IFN_ES_2_S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Dropbox\PhD\Documents\Manuscripts\Figs\SLS\IFN_ES_2_SLS.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5602" cy="2785602"/>
                    </a:xfrm>
                    <a:prstGeom prst="rect">
                      <a:avLst/>
                    </a:prstGeom>
                    <a:noFill/>
                    <a:ln>
                      <a:noFill/>
                    </a:ln>
                  </pic:spPr>
                </pic:pic>
              </a:graphicData>
            </a:graphic>
          </wp:inline>
        </w:drawing>
      </w:r>
    </w:p>
    <w:p w14:paraId="2F6B125D" w14:textId="2D689D4D" w:rsidR="00A25838" w:rsidRPr="00A25838" w:rsidRDefault="004F20FC" w:rsidP="004F20FC">
      <w:pPr>
        <w:pStyle w:val="Caption"/>
        <w:spacing w:line="480" w:lineRule="auto"/>
        <w:jc w:val="center"/>
        <w:rPr>
          <w:lang w:val="en-US"/>
        </w:rPr>
      </w:pPr>
      <w:r w:rsidRPr="004F20FC">
        <w:rPr>
          <w:lang w:val="en-US"/>
        </w:rPr>
        <w:t xml:space="preserve">S-Figure </w:t>
      </w:r>
      <w:r>
        <w:fldChar w:fldCharType="begin"/>
      </w:r>
      <w:r w:rsidRPr="004F20FC">
        <w:rPr>
          <w:lang w:val="en-US"/>
        </w:rPr>
        <w:instrText xml:space="preserve"> SEQ S-Figure \* ARABIC </w:instrText>
      </w:r>
      <w:r>
        <w:fldChar w:fldCharType="separate"/>
      </w:r>
      <w:r w:rsidR="00941055">
        <w:rPr>
          <w:noProof/>
          <w:lang w:val="en-US"/>
        </w:rPr>
        <w:t>1</w:t>
      </w:r>
      <w:r>
        <w:fldChar w:fldCharType="end"/>
      </w:r>
      <w:r w:rsidRPr="002A43BC">
        <w:rPr>
          <w:lang w:val="en-US"/>
        </w:rPr>
        <w:t xml:space="preserve">: </w:t>
      </w:r>
      <w:r w:rsidRPr="00F13BDE">
        <w:rPr>
          <w:b/>
          <w:lang w:val="en-US"/>
        </w:rPr>
        <w:t>Apparent Mw</w:t>
      </w:r>
      <w:r>
        <w:rPr>
          <w:b/>
          <w:lang w:val="en-US"/>
        </w:rPr>
        <w:t>.</w:t>
      </w:r>
      <w:r w:rsidRPr="002A43BC">
        <w:rPr>
          <w:lang w:val="en-US"/>
        </w:rPr>
        <w:t xml:space="preserve"> </w:t>
      </w:r>
      <w:r>
        <w:rPr>
          <w:lang w:val="en-US"/>
        </w:rPr>
        <w:t xml:space="preserve">Measured </w:t>
      </w:r>
      <w:r w:rsidRPr="002A43BC">
        <w:rPr>
          <w:lang w:val="en-US"/>
        </w:rPr>
        <w:t xml:space="preserve">for different </w:t>
      </w:r>
      <w:r>
        <w:rPr>
          <w:lang w:val="en-US"/>
        </w:rPr>
        <w:t>IFN</w:t>
      </w:r>
      <w:r w:rsidRPr="002A43BC">
        <w:rPr>
          <w:lang w:val="en-US"/>
        </w:rPr>
        <w:t xml:space="preserve"> concentrations in presence and absence of </w:t>
      </w:r>
      <w:r w:rsidRPr="002A43BC">
        <w:rPr>
          <w:b/>
          <w:lang w:val="en-US"/>
        </w:rPr>
        <w:t xml:space="preserve">A </w:t>
      </w:r>
      <w:r>
        <w:rPr>
          <w:lang w:val="en-US"/>
        </w:rPr>
        <w:t>as determined by SLS. Error bars represent the standard deviations of the measurements of three independent samples.</w:t>
      </w:r>
    </w:p>
    <w:p w14:paraId="71DE36C9" w14:textId="77777777" w:rsidR="004F20FC" w:rsidRDefault="00A35DD4" w:rsidP="004F20FC">
      <w:pPr>
        <w:keepNext/>
        <w:jc w:val="center"/>
      </w:pPr>
      <w:r>
        <w:rPr>
          <w:noProof/>
        </w:rPr>
        <w:drawing>
          <wp:inline distT="0" distB="0" distL="0" distR="0" wp14:anchorId="05EF800F" wp14:editId="501064FD">
            <wp:extent cx="4029075" cy="2008544"/>
            <wp:effectExtent l="0" t="0" r="0" b="0"/>
            <wp:docPr id="31" name="Picture 31" descr="E:\Dropbox\PhD\Documents\Manuscripts\Figs\F_T\FlowCam_AS_Gly-L-As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ropbox\PhD\Documents\Manuscripts\Figs\F_T\FlowCam_AS_Gly-L-Asn.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30126" cy="2009068"/>
                    </a:xfrm>
                    <a:prstGeom prst="rect">
                      <a:avLst/>
                    </a:prstGeom>
                    <a:noFill/>
                    <a:ln>
                      <a:noFill/>
                    </a:ln>
                  </pic:spPr>
                </pic:pic>
              </a:graphicData>
            </a:graphic>
          </wp:inline>
        </w:drawing>
      </w:r>
    </w:p>
    <w:p w14:paraId="66104FD9" w14:textId="007E5111" w:rsidR="00A35DD4" w:rsidRPr="00B10414" w:rsidRDefault="004F20FC" w:rsidP="00A35DD4">
      <w:pPr>
        <w:pStyle w:val="Caption"/>
        <w:jc w:val="center"/>
        <w:rPr>
          <w:lang w:val="en-US"/>
        </w:rPr>
      </w:pPr>
      <w:r w:rsidRPr="004F20FC">
        <w:rPr>
          <w:lang w:val="en-US"/>
        </w:rPr>
        <w:t xml:space="preserve">S-Figure </w:t>
      </w:r>
      <w:r>
        <w:fldChar w:fldCharType="begin"/>
      </w:r>
      <w:r w:rsidRPr="004F20FC">
        <w:rPr>
          <w:lang w:val="en-US"/>
        </w:rPr>
        <w:instrText xml:space="preserve"> SEQ S-Figure \* ARABIC </w:instrText>
      </w:r>
      <w:r>
        <w:fldChar w:fldCharType="separate"/>
      </w:r>
      <w:r w:rsidR="00941055">
        <w:rPr>
          <w:noProof/>
          <w:lang w:val="en-US"/>
        </w:rPr>
        <w:t>2</w:t>
      </w:r>
      <w:r>
        <w:fldChar w:fldCharType="end"/>
      </w:r>
      <w:r w:rsidR="00A35DD4" w:rsidRPr="00B10414">
        <w:rPr>
          <w:lang w:val="en-US"/>
        </w:rPr>
        <w:t>:</w:t>
      </w:r>
      <w:r w:rsidR="00A35DD4">
        <w:rPr>
          <w:lang w:val="en-US"/>
        </w:rPr>
        <w:t xml:space="preserve"> Sub-visible particle count before and after submitting a formulation of mAb-1 to three freeze-thaw cycles.</w:t>
      </w:r>
    </w:p>
    <w:p w14:paraId="1AD4218F" w14:textId="77777777" w:rsidR="00A35DD4" w:rsidRPr="00A35DD4" w:rsidRDefault="00A35DD4" w:rsidP="00A35DD4">
      <w:pPr>
        <w:rPr>
          <w:lang w:val="en-US"/>
        </w:rPr>
        <w:sectPr w:rsidR="00A35DD4" w:rsidRPr="00A35DD4">
          <w:pgSz w:w="12240" w:h="15840"/>
          <w:pgMar w:top="1440" w:right="1440" w:bottom="1440" w:left="1440" w:header="720" w:footer="720" w:gutter="0"/>
          <w:cols w:space="720"/>
          <w:docGrid w:linePitch="360"/>
        </w:sectPr>
      </w:pPr>
    </w:p>
    <w:p w14:paraId="571829BD" w14:textId="5727D402" w:rsidR="00A35DD4" w:rsidRPr="00D7205F" w:rsidRDefault="00A35DD4" w:rsidP="00A35DD4">
      <w:pPr>
        <w:pStyle w:val="Caption"/>
        <w:keepNext/>
        <w:spacing w:line="480" w:lineRule="auto"/>
        <w:jc w:val="center"/>
        <w:rPr>
          <w:lang w:val="en-US"/>
        </w:rPr>
      </w:pPr>
      <w:bookmarkStart w:id="12" w:name="_Ref532059941"/>
      <w:r w:rsidRPr="00590321">
        <w:rPr>
          <w:lang w:val="en-US"/>
        </w:rPr>
        <w:lastRenderedPageBreak/>
        <w:t xml:space="preserve">Table </w:t>
      </w:r>
      <w:r>
        <w:rPr>
          <w:lang w:val="en-US"/>
        </w:rPr>
        <w:t>S-</w:t>
      </w:r>
      <w:bookmarkEnd w:id="12"/>
      <w:r w:rsidR="004F20FC" w:rsidRPr="004F20FC">
        <w:rPr>
          <w:lang w:val="en-US"/>
        </w:rPr>
        <w:t>1</w:t>
      </w:r>
      <w:r w:rsidRPr="00590321">
        <w:rPr>
          <w:lang w:val="en-US"/>
        </w:rPr>
        <w:t xml:space="preserve">: </w:t>
      </w:r>
      <w:r>
        <w:rPr>
          <w:lang w:val="en-US"/>
        </w:rPr>
        <w:t>Inflection point (IP) and aggregation onset temperatures T</w:t>
      </w:r>
      <w:r w:rsidRPr="00AA3B05">
        <w:rPr>
          <w:vertAlign w:val="subscript"/>
          <w:lang w:val="en-US"/>
        </w:rPr>
        <w:t>onset</w:t>
      </w:r>
      <w:r>
        <w:rPr>
          <w:lang w:val="en-US"/>
        </w:rPr>
        <w:t xml:space="preserve"> </w:t>
      </w:r>
      <w:r w:rsidRPr="00590321">
        <w:rPr>
          <w:lang w:val="en-US"/>
        </w:rPr>
        <w:t xml:space="preserve">of IFN formulations. </w:t>
      </w:r>
      <w:r w:rsidRPr="00D7205F">
        <w:rPr>
          <w:lang w:val="en-US"/>
        </w:rPr>
        <w:t>1 mg/ml IFN, 50 mM excipient, 50 mM Pi, pH 7.0.</w:t>
      </w:r>
    </w:p>
    <w:tbl>
      <w:tblPr>
        <w:tblStyle w:val="GridTable2"/>
        <w:tblW w:w="0" w:type="auto"/>
        <w:tblLook w:val="04A0" w:firstRow="1" w:lastRow="0" w:firstColumn="1" w:lastColumn="0" w:noHBand="0" w:noVBand="1"/>
      </w:tblPr>
      <w:tblGrid>
        <w:gridCol w:w="3020"/>
        <w:gridCol w:w="3021"/>
        <w:gridCol w:w="3021"/>
      </w:tblGrid>
      <w:tr w:rsidR="00A35DD4" w14:paraId="14420968" w14:textId="77777777" w:rsidTr="00887C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550619BE" w14:textId="77777777" w:rsidR="00A35DD4" w:rsidRDefault="00A35DD4" w:rsidP="00887C61">
            <w:pPr>
              <w:jc w:val="center"/>
              <w:rPr>
                <w:lang w:val="en-US"/>
              </w:rPr>
            </w:pPr>
            <w:r>
              <w:rPr>
                <w:lang w:val="en-US"/>
              </w:rPr>
              <w:t>Excipient</w:t>
            </w:r>
          </w:p>
        </w:tc>
        <w:tc>
          <w:tcPr>
            <w:tcW w:w="3021" w:type="dxa"/>
            <w:vAlign w:val="center"/>
          </w:tcPr>
          <w:p w14:paraId="66165EF2" w14:textId="77777777" w:rsidR="00A35DD4" w:rsidRPr="00BA5DB9" w:rsidRDefault="00A35DD4" w:rsidP="00887C61">
            <w:pPr>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IP</w:t>
            </w:r>
            <w:r>
              <w:rPr>
                <w:vertAlign w:val="subscript"/>
                <w:lang w:val="en-US"/>
              </w:rPr>
              <w:t xml:space="preserve"> </w:t>
            </w:r>
            <w:r>
              <w:rPr>
                <w:lang w:val="en-US"/>
              </w:rPr>
              <w:t>[°C]</w:t>
            </w:r>
          </w:p>
        </w:tc>
        <w:tc>
          <w:tcPr>
            <w:tcW w:w="3021" w:type="dxa"/>
            <w:vAlign w:val="center"/>
          </w:tcPr>
          <w:p w14:paraId="03454A5A" w14:textId="77777777" w:rsidR="00A35DD4" w:rsidRPr="00BA5DB9" w:rsidRDefault="00A35DD4" w:rsidP="00887C61">
            <w:pPr>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T</w:t>
            </w:r>
            <w:r>
              <w:rPr>
                <w:vertAlign w:val="subscript"/>
                <w:lang w:val="en-US"/>
              </w:rPr>
              <w:t xml:space="preserve">onset </w:t>
            </w:r>
            <w:r>
              <w:rPr>
                <w:lang w:val="en-US"/>
              </w:rPr>
              <w:t>[°C]</w:t>
            </w:r>
          </w:p>
        </w:tc>
      </w:tr>
      <w:tr w:rsidR="00A35DD4" w14:paraId="720366E1" w14:textId="77777777" w:rsidTr="00887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446FA2CA" w14:textId="77777777" w:rsidR="00A35DD4" w:rsidRDefault="00A35DD4" w:rsidP="00887C61">
            <w:pPr>
              <w:jc w:val="center"/>
              <w:rPr>
                <w:lang w:val="en-US"/>
              </w:rPr>
            </w:pPr>
            <w:r>
              <w:rPr>
                <w:rFonts w:ascii="Calibri" w:eastAsia="Times New Roman" w:hAnsi="Calibri" w:cs="Calibri"/>
                <w:color w:val="000000"/>
                <w:lang w:val="en-US"/>
              </w:rPr>
              <w:t>A</w:t>
            </w:r>
          </w:p>
        </w:tc>
        <w:tc>
          <w:tcPr>
            <w:tcW w:w="3021" w:type="dxa"/>
            <w:vAlign w:val="center"/>
          </w:tcPr>
          <w:p w14:paraId="09C4FF38" w14:textId="77777777" w:rsidR="00A35DD4" w:rsidRDefault="00A35DD4" w:rsidP="00887C61">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68.0</w:t>
            </w:r>
            <w:r>
              <w:rPr>
                <w:rFonts w:ascii="Calibri" w:eastAsia="Times New Roman" w:hAnsi="Calibri" w:cs="Calibri"/>
                <w:color w:val="000000"/>
                <w:sz w:val="24"/>
                <w:szCs w:val="24"/>
                <w:lang w:val="en-US"/>
              </w:rPr>
              <w:t>±0.0</w:t>
            </w:r>
          </w:p>
        </w:tc>
        <w:tc>
          <w:tcPr>
            <w:tcW w:w="3021" w:type="dxa"/>
            <w:vAlign w:val="center"/>
          </w:tcPr>
          <w:p w14:paraId="657FC708" w14:textId="77777777" w:rsidR="00A35DD4" w:rsidRDefault="00A35DD4" w:rsidP="00887C61">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64.2</w:t>
            </w:r>
            <w:r>
              <w:rPr>
                <w:rFonts w:ascii="Calibri" w:eastAsia="Times New Roman" w:hAnsi="Calibri" w:cs="Calibri"/>
                <w:color w:val="000000"/>
                <w:sz w:val="24"/>
                <w:szCs w:val="24"/>
                <w:lang w:val="en-US"/>
              </w:rPr>
              <w:t>±0.1</w:t>
            </w:r>
          </w:p>
        </w:tc>
      </w:tr>
      <w:tr w:rsidR="00A35DD4" w14:paraId="07A6BB2C" w14:textId="77777777" w:rsidTr="00887C61">
        <w:tc>
          <w:tcPr>
            <w:cnfStyle w:val="001000000000" w:firstRow="0" w:lastRow="0" w:firstColumn="1" w:lastColumn="0" w:oddVBand="0" w:evenVBand="0" w:oddHBand="0" w:evenHBand="0" w:firstRowFirstColumn="0" w:firstRowLastColumn="0" w:lastRowFirstColumn="0" w:lastRowLastColumn="0"/>
            <w:tcW w:w="3020" w:type="dxa"/>
            <w:vAlign w:val="center"/>
          </w:tcPr>
          <w:p w14:paraId="078EB1F0" w14:textId="77777777" w:rsidR="00A35DD4" w:rsidRDefault="00A35DD4" w:rsidP="00887C61">
            <w:pPr>
              <w:jc w:val="center"/>
              <w:rPr>
                <w:rFonts w:ascii="Calibri" w:eastAsia="Times New Roman" w:hAnsi="Calibri" w:cs="Calibri"/>
                <w:color w:val="000000"/>
                <w:lang w:val="en-US"/>
              </w:rPr>
            </w:pPr>
            <w:r>
              <w:rPr>
                <w:lang w:val="en-US"/>
              </w:rPr>
              <w:t>Glycyl-L-asparagine</w:t>
            </w:r>
          </w:p>
        </w:tc>
        <w:tc>
          <w:tcPr>
            <w:tcW w:w="3021" w:type="dxa"/>
            <w:vAlign w:val="center"/>
          </w:tcPr>
          <w:p w14:paraId="084D02C2" w14:textId="77777777" w:rsidR="00A35DD4" w:rsidRDefault="00A35DD4" w:rsidP="00887C61">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68.1</w:t>
            </w:r>
            <w:r>
              <w:rPr>
                <w:rFonts w:ascii="Calibri" w:eastAsia="Times New Roman" w:hAnsi="Calibri" w:cs="Calibri"/>
                <w:color w:val="000000"/>
                <w:sz w:val="24"/>
                <w:szCs w:val="24"/>
                <w:lang w:val="en-US"/>
              </w:rPr>
              <w:t>±0.2</w:t>
            </w:r>
          </w:p>
        </w:tc>
        <w:tc>
          <w:tcPr>
            <w:tcW w:w="3021" w:type="dxa"/>
            <w:vAlign w:val="center"/>
          </w:tcPr>
          <w:p w14:paraId="0D6F734B" w14:textId="77777777" w:rsidR="00A35DD4" w:rsidRDefault="00A35DD4" w:rsidP="00887C61">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64.1</w:t>
            </w:r>
            <w:r>
              <w:rPr>
                <w:rFonts w:ascii="Calibri" w:eastAsia="Times New Roman" w:hAnsi="Calibri" w:cs="Calibri"/>
                <w:color w:val="000000"/>
                <w:sz w:val="24"/>
                <w:szCs w:val="24"/>
                <w:lang w:val="en-US"/>
              </w:rPr>
              <w:t>±0.1</w:t>
            </w:r>
          </w:p>
        </w:tc>
      </w:tr>
      <w:tr w:rsidR="00A35DD4" w14:paraId="4FE26EDB" w14:textId="77777777" w:rsidTr="00887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22673FEF" w14:textId="77777777" w:rsidR="00A35DD4" w:rsidRDefault="00A35DD4" w:rsidP="00887C61">
            <w:pPr>
              <w:jc w:val="center"/>
              <w:rPr>
                <w:lang w:val="en-US"/>
              </w:rPr>
            </w:pPr>
            <w:r>
              <w:rPr>
                <w:lang w:val="en-US"/>
              </w:rPr>
              <w:t>L-arginine</w:t>
            </w:r>
          </w:p>
        </w:tc>
        <w:tc>
          <w:tcPr>
            <w:tcW w:w="3021" w:type="dxa"/>
            <w:vAlign w:val="center"/>
          </w:tcPr>
          <w:p w14:paraId="6E0C6919" w14:textId="77777777" w:rsidR="00A35DD4" w:rsidRDefault="00A35DD4" w:rsidP="00887C61">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67.7</w:t>
            </w:r>
            <w:r>
              <w:rPr>
                <w:rFonts w:ascii="Calibri" w:eastAsia="Times New Roman" w:hAnsi="Calibri" w:cs="Calibri"/>
                <w:color w:val="000000"/>
                <w:sz w:val="24"/>
                <w:szCs w:val="24"/>
                <w:lang w:val="en-US"/>
              </w:rPr>
              <w:t>±0.0</w:t>
            </w:r>
          </w:p>
        </w:tc>
        <w:tc>
          <w:tcPr>
            <w:tcW w:w="3021" w:type="dxa"/>
            <w:vAlign w:val="center"/>
          </w:tcPr>
          <w:p w14:paraId="6D28C38A" w14:textId="77777777" w:rsidR="00A35DD4" w:rsidRDefault="00A35DD4" w:rsidP="00887C61">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63.8</w:t>
            </w:r>
            <w:r>
              <w:rPr>
                <w:rFonts w:ascii="Calibri" w:eastAsia="Times New Roman" w:hAnsi="Calibri" w:cs="Calibri"/>
                <w:color w:val="000000"/>
                <w:sz w:val="24"/>
                <w:szCs w:val="24"/>
                <w:lang w:val="en-US"/>
              </w:rPr>
              <w:t>±0.0</w:t>
            </w:r>
          </w:p>
        </w:tc>
      </w:tr>
      <w:tr w:rsidR="00A35DD4" w14:paraId="2078B16A" w14:textId="77777777" w:rsidTr="00887C61">
        <w:tc>
          <w:tcPr>
            <w:cnfStyle w:val="001000000000" w:firstRow="0" w:lastRow="0" w:firstColumn="1" w:lastColumn="0" w:oddVBand="0" w:evenVBand="0" w:oddHBand="0" w:evenHBand="0" w:firstRowFirstColumn="0" w:firstRowLastColumn="0" w:lastRowFirstColumn="0" w:lastRowLastColumn="0"/>
            <w:tcW w:w="3020" w:type="dxa"/>
            <w:vAlign w:val="center"/>
          </w:tcPr>
          <w:p w14:paraId="3CC3ACCA" w14:textId="77777777" w:rsidR="00A35DD4" w:rsidRDefault="00A35DD4" w:rsidP="00887C61">
            <w:pPr>
              <w:jc w:val="center"/>
              <w:rPr>
                <w:lang w:val="en-US"/>
              </w:rPr>
            </w:pPr>
            <w:r>
              <w:rPr>
                <w:lang w:val="en-US"/>
              </w:rPr>
              <w:t>D(+)-trehalose</w:t>
            </w:r>
          </w:p>
        </w:tc>
        <w:tc>
          <w:tcPr>
            <w:tcW w:w="3021" w:type="dxa"/>
            <w:vAlign w:val="center"/>
          </w:tcPr>
          <w:p w14:paraId="39C88412" w14:textId="77777777" w:rsidR="00A35DD4" w:rsidRDefault="00A35DD4" w:rsidP="00887C61">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67.7</w:t>
            </w:r>
            <w:r>
              <w:rPr>
                <w:rFonts w:ascii="Calibri" w:eastAsia="Times New Roman" w:hAnsi="Calibri" w:cs="Calibri"/>
                <w:color w:val="000000"/>
                <w:sz w:val="24"/>
                <w:szCs w:val="24"/>
                <w:lang w:val="en-US"/>
              </w:rPr>
              <w:t>±0.0</w:t>
            </w:r>
          </w:p>
        </w:tc>
        <w:tc>
          <w:tcPr>
            <w:tcW w:w="3021" w:type="dxa"/>
            <w:vAlign w:val="center"/>
          </w:tcPr>
          <w:p w14:paraId="5C7F7357" w14:textId="77777777" w:rsidR="00A35DD4" w:rsidRDefault="00A35DD4" w:rsidP="00887C61">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64.5</w:t>
            </w:r>
            <w:r>
              <w:rPr>
                <w:rFonts w:ascii="Calibri" w:eastAsia="Times New Roman" w:hAnsi="Calibri" w:cs="Calibri"/>
                <w:color w:val="000000"/>
                <w:sz w:val="24"/>
                <w:szCs w:val="24"/>
                <w:lang w:val="en-US"/>
              </w:rPr>
              <w:t>±0.1</w:t>
            </w:r>
          </w:p>
        </w:tc>
      </w:tr>
      <w:tr w:rsidR="00A35DD4" w14:paraId="4F199116" w14:textId="77777777" w:rsidTr="00887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513AFD0F" w14:textId="77777777" w:rsidR="00A35DD4" w:rsidRDefault="00A35DD4" w:rsidP="00887C61">
            <w:pPr>
              <w:jc w:val="center"/>
              <w:rPr>
                <w:lang w:val="en-US"/>
              </w:rPr>
            </w:pPr>
            <w:r>
              <w:rPr>
                <w:lang w:val="en-US"/>
              </w:rPr>
              <w:t>None</w:t>
            </w:r>
          </w:p>
        </w:tc>
        <w:tc>
          <w:tcPr>
            <w:tcW w:w="3021" w:type="dxa"/>
            <w:vAlign w:val="center"/>
          </w:tcPr>
          <w:p w14:paraId="5F0B0236" w14:textId="77777777" w:rsidR="00A35DD4" w:rsidRDefault="00A35DD4" w:rsidP="00887C61">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67.8</w:t>
            </w:r>
            <w:r>
              <w:rPr>
                <w:rFonts w:ascii="Calibri" w:eastAsia="Times New Roman" w:hAnsi="Calibri" w:cs="Calibri"/>
                <w:color w:val="000000"/>
                <w:sz w:val="24"/>
                <w:szCs w:val="24"/>
                <w:lang w:val="en-US"/>
              </w:rPr>
              <w:t>±0.1</w:t>
            </w:r>
          </w:p>
        </w:tc>
        <w:tc>
          <w:tcPr>
            <w:tcW w:w="3021" w:type="dxa"/>
            <w:vAlign w:val="center"/>
          </w:tcPr>
          <w:p w14:paraId="4460C2AF" w14:textId="77777777" w:rsidR="00A35DD4" w:rsidRDefault="00A35DD4" w:rsidP="00887C61">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64.4</w:t>
            </w:r>
            <w:r>
              <w:rPr>
                <w:rFonts w:ascii="Calibri" w:eastAsia="Times New Roman" w:hAnsi="Calibri" w:cs="Calibri"/>
                <w:color w:val="000000"/>
                <w:sz w:val="24"/>
                <w:szCs w:val="24"/>
                <w:lang w:val="en-US"/>
              </w:rPr>
              <w:t>±0.2</w:t>
            </w:r>
          </w:p>
        </w:tc>
      </w:tr>
    </w:tbl>
    <w:p w14:paraId="22DFC6D8" w14:textId="77777777" w:rsidR="00A35DD4" w:rsidRDefault="00A35DD4" w:rsidP="00A35DD4">
      <w:pPr>
        <w:rPr>
          <w:b/>
        </w:rPr>
      </w:pPr>
    </w:p>
    <w:p w14:paraId="7DDC1BBD" w14:textId="77777777" w:rsidR="00A35DD4" w:rsidRDefault="00A35DD4" w:rsidP="00A35DD4">
      <w:pPr>
        <w:rPr>
          <w:b/>
        </w:rPr>
      </w:pPr>
    </w:p>
    <w:p w14:paraId="0021289C" w14:textId="77777777" w:rsidR="00A35DD4" w:rsidRDefault="00A35DD4" w:rsidP="00A35DD4">
      <w:pPr>
        <w:keepNext/>
        <w:jc w:val="center"/>
      </w:pPr>
      <w:r>
        <w:rPr>
          <w:i/>
          <w:noProof/>
          <w:u w:val="single"/>
        </w:rPr>
        <w:drawing>
          <wp:inline distT="0" distB="0" distL="0" distR="0" wp14:anchorId="1FFF17D4" wp14:editId="1841D24C">
            <wp:extent cx="4023360" cy="2011680"/>
            <wp:effectExtent l="0" t="0" r="0" b="7620"/>
            <wp:docPr id="13" name="Picture 13" descr="E:\Dropbox\PhD\Documents\Manuscripts\PM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ropbox\PhD\Documents\Manuscripts\PMF.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23360" cy="2011680"/>
                    </a:xfrm>
                    <a:prstGeom prst="rect">
                      <a:avLst/>
                    </a:prstGeom>
                    <a:noFill/>
                    <a:ln>
                      <a:noFill/>
                    </a:ln>
                  </pic:spPr>
                </pic:pic>
              </a:graphicData>
            </a:graphic>
          </wp:inline>
        </w:drawing>
      </w:r>
    </w:p>
    <w:p w14:paraId="131FA165" w14:textId="7F074FCD" w:rsidR="00A35DD4" w:rsidRPr="0010458A" w:rsidRDefault="004F20FC" w:rsidP="004F20FC">
      <w:pPr>
        <w:pStyle w:val="Caption"/>
        <w:rPr>
          <w:b/>
          <w:lang w:val="en-US"/>
        </w:rPr>
      </w:pPr>
      <w:r w:rsidRPr="004F20FC">
        <w:rPr>
          <w:lang w:val="en-US"/>
        </w:rPr>
        <w:t xml:space="preserve">S-Figure </w:t>
      </w:r>
      <w:r>
        <w:fldChar w:fldCharType="begin"/>
      </w:r>
      <w:r w:rsidRPr="004F20FC">
        <w:rPr>
          <w:lang w:val="en-US"/>
        </w:rPr>
        <w:instrText xml:space="preserve"> SEQ S-Figure \* ARABIC </w:instrText>
      </w:r>
      <w:r>
        <w:fldChar w:fldCharType="separate"/>
      </w:r>
      <w:r w:rsidR="00941055">
        <w:rPr>
          <w:noProof/>
          <w:lang w:val="en-US"/>
        </w:rPr>
        <w:t>3</w:t>
      </w:r>
      <w:r>
        <w:fldChar w:fldCharType="end"/>
      </w:r>
      <w:r w:rsidR="00A35DD4" w:rsidRPr="0010458A">
        <w:rPr>
          <w:lang w:val="en-US"/>
        </w:rPr>
        <w:t>:  Potential of mean force depicting the work required to attach the restraints, to pull the ligand from its binding site and to release the restraints. The distance for the binding site is set to 0. Error bars represent the standard error of the mean.</w:t>
      </w:r>
    </w:p>
    <w:p w14:paraId="3F7F666D" w14:textId="77777777" w:rsidR="00A35DD4" w:rsidRPr="00A35DD4" w:rsidRDefault="00A35DD4" w:rsidP="00A35DD4">
      <w:pPr>
        <w:jc w:val="center"/>
        <w:rPr>
          <w:b/>
          <w:lang w:val="en-US"/>
        </w:rPr>
      </w:pPr>
    </w:p>
    <w:p w14:paraId="0E3129CB" w14:textId="77777777" w:rsidR="00F13BDE" w:rsidRPr="005F0550" w:rsidRDefault="00F13BDE" w:rsidP="00A129E5">
      <w:pPr>
        <w:spacing w:line="480" w:lineRule="auto"/>
        <w:rPr>
          <w:b/>
          <w:lang w:val="en-US"/>
        </w:rPr>
      </w:pPr>
      <w:bookmarkStart w:id="13" w:name="_GoBack"/>
      <w:bookmarkEnd w:id="13"/>
    </w:p>
    <w:sectPr w:rsidR="00F13BDE" w:rsidRPr="005F055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80C81" w14:textId="77777777" w:rsidR="008956E5" w:rsidRDefault="008956E5" w:rsidP="004C50C6">
      <w:pPr>
        <w:spacing w:after="0" w:line="240" w:lineRule="auto"/>
      </w:pPr>
      <w:r>
        <w:separator/>
      </w:r>
    </w:p>
  </w:endnote>
  <w:endnote w:type="continuationSeparator" w:id="0">
    <w:p w14:paraId="221759D0" w14:textId="77777777" w:rsidR="008956E5" w:rsidRDefault="008956E5" w:rsidP="004C5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8885E" w14:textId="35753423" w:rsidR="00887C61" w:rsidRDefault="00887C61">
    <w:pPr>
      <w:pStyle w:val="Footer"/>
    </w:pP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F8220" w14:textId="77777777" w:rsidR="00887C61" w:rsidRDefault="00887C61">
    <w:pPr>
      <w:pStyle w:val="Footer"/>
    </w:pPr>
    <w:r>
      <w:tab/>
    </w:r>
    <w:r>
      <w:tab/>
    </w:r>
    <w:r>
      <w:tab/>
      <w:t xml:space="preserve">Seite </w:t>
    </w:r>
    <w:r>
      <w:rPr>
        <w:b/>
        <w:bCs/>
      </w:rPr>
      <w:fldChar w:fldCharType="begin"/>
    </w:r>
    <w:r>
      <w:rPr>
        <w:b/>
        <w:bCs/>
      </w:rPr>
      <w:instrText>PAGE  \* Arabic  \* MERGEFORMAT</w:instrText>
    </w:r>
    <w:r>
      <w:rPr>
        <w:b/>
        <w:bCs/>
      </w:rPr>
      <w:fldChar w:fldCharType="separate"/>
    </w:r>
    <w:r>
      <w:rPr>
        <w:b/>
        <w:bCs/>
        <w:noProof/>
      </w:rPr>
      <w:t>14</w:t>
    </w:r>
    <w:r>
      <w:rPr>
        <w:b/>
        <w:bCs/>
      </w:rPr>
      <w:fldChar w:fldCharType="end"/>
    </w:r>
    <w:r>
      <w:t xml:space="preserve"> von </w:t>
    </w:r>
    <w:r>
      <w:rPr>
        <w:b/>
        <w:bCs/>
      </w:rPr>
      <w:fldChar w:fldCharType="begin"/>
    </w:r>
    <w:r>
      <w:rPr>
        <w:b/>
        <w:bCs/>
      </w:rPr>
      <w:instrText>NUMPAGES  \* Arabic  \* MERGEFORMAT</w:instrText>
    </w:r>
    <w:r>
      <w:rPr>
        <w:b/>
        <w:bCs/>
      </w:rPr>
      <w:fldChar w:fldCharType="separate"/>
    </w:r>
    <w:r>
      <w:rPr>
        <w:b/>
        <w:bCs/>
        <w:noProof/>
      </w:rPr>
      <w:t>14</w:t>
    </w:r>
    <w:r>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3B8CF" w14:textId="6994B009" w:rsidR="00887C61" w:rsidRDefault="00887C6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D5C84" w14:textId="08322A9B" w:rsidR="00887C61" w:rsidRDefault="00887C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023F03" w14:textId="77777777" w:rsidR="008956E5" w:rsidRDefault="008956E5" w:rsidP="004C50C6">
      <w:pPr>
        <w:spacing w:after="0" w:line="240" w:lineRule="auto"/>
      </w:pPr>
      <w:r>
        <w:separator/>
      </w:r>
    </w:p>
  </w:footnote>
  <w:footnote w:type="continuationSeparator" w:id="0">
    <w:p w14:paraId="0881F8E4" w14:textId="77777777" w:rsidR="008956E5" w:rsidRDefault="008956E5" w:rsidP="004C50C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550"/>
    <w:rsid w:val="000012B6"/>
    <w:rsid w:val="0000130D"/>
    <w:rsid w:val="00003874"/>
    <w:rsid w:val="00012679"/>
    <w:rsid w:val="00016BD9"/>
    <w:rsid w:val="00022A4B"/>
    <w:rsid w:val="0002386C"/>
    <w:rsid w:val="00024C49"/>
    <w:rsid w:val="00025094"/>
    <w:rsid w:val="00030D8E"/>
    <w:rsid w:val="0003359F"/>
    <w:rsid w:val="00034A84"/>
    <w:rsid w:val="00041161"/>
    <w:rsid w:val="0005247F"/>
    <w:rsid w:val="000543B6"/>
    <w:rsid w:val="00056F1C"/>
    <w:rsid w:val="00057203"/>
    <w:rsid w:val="00061BF3"/>
    <w:rsid w:val="00061CE6"/>
    <w:rsid w:val="00065DCB"/>
    <w:rsid w:val="0006716C"/>
    <w:rsid w:val="00070165"/>
    <w:rsid w:val="000734B3"/>
    <w:rsid w:val="00075DD3"/>
    <w:rsid w:val="000831B0"/>
    <w:rsid w:val="00086E47"/>
    <w:rsid w:val="00087A39"/>
    <w:rsid w:val="00090CE1"/>
    <w:rsid w:val="00091090"/>
    <w:rsid w:val="00091551"/>
    <w:rsid w:val="00096DC3"/>
    <w:rsid w:val="00097C05"/>
    <w:rsid w:val="000A0DD3"/>
    <w:rsid w:val="000A4B2F"/>
    <w:rsid w:val="000A7C0E"/>
    <w:rsid w:val="000B02D2"/>
    <w:rsid w:val="000B172C"/>
    <w:rsid w:val="000B2AB0"/>
    <w:rsid w:val="000B635E"/>
    <w:rsid w:val="000B7AC7"/>
    <w:rsid w:val="000C2355"/>
    <w:rsid w:val="000C2D2E"/>
    <w:rsid w:val="000C415B"/>
    <w:rsid w:val="000C4240"/>
    <w:rsid w:val="000C6DCE"/>
    <w:rsid w:val="000D1B99"/>
    <w:rsid w:val="000D3A76"/>
    <w:rsid w:val="000E36F6"/>
    <w:rsid w:val="000E4E4B"/>
    <w:rsid w:val="000F05A5"/>
    <w:rsid w:val="000F1728"/>
    <w:rsid w:val="000F2F7A"/>
    <w:rsid w:val="000F577B"/>
    <w:rsid w:val="000F6B44"/>
    <w:rsid w:val="00100FF3"/>
    <w:rsid w:val="001076F6"/>
    <w:rsid w:val="0013457B"/>
    <w:rsid w:val="00135886"/>
    <w:rsid w:val="00135AC4"/>
    <w:rsid w:val="00142D6D"/>
    <w:rsid w:val="00150CE5"/>
    <w:rsid w:val="0015101F"/>
    <w:rsid w:val="0015287E"/>
    <w:rsid w:val="00155137"/>
    <w:rsid w:val="0015693A"/>
    <w:rsid w:val="001645F1"/>
    <w:rsid w:val="00164CD2"/>
    <w:rsid w:val="00165608"/>
    <w:rsid w:val="0016586C"/>
    <w:rsid w:val="00166CB6"/>
    <w:rsid w:val="0016708B"/>
    <w:rsid w:val="00171B9A"/>
    <w:rsid w:val="00172C2D"/>
    <w:rsid w:val="00173563"/>
    <w:rsid w:val="00175224"/>
    <w:rsid w:val="001753D4"/>
    <w:rsid w:val="00177BD1"/>
    <w:rsid w:val="001802AE"/>
    <w:rsid w:val="00180D62"/>
    <w:rsid w:val="00181F42"/>
    <w:rsid w:val="00182EA9"/>
    <w:rsid w:val="00186534"/>
    <w:rsid w:val="0018710A"/>
    <w:rsid w:val="0019173D"/>
    <w:rsid w:val="0019280C"/>
    <w:rsid w:val="00193906"/>
    <w:rsid w:val="001945AC"/>
    <w:rsid w:val="0019661B"/>
    <w:rsid w:val="001A0E35"/>
    <w:rsid w:val="001A4456"/>
    <w:rsid w:val="001A5F6E"/>
    <w:rsid w:val="001A6D90"/>
    <w:rsid w:val="001B190F"/>
    <w:rsid w:val="001B2486"/>
    <w:rsid w:val="001B2944"/>
    <w:rsid w:val="001B298E"/>
    <w:rsid w:val="001B41AE"/>
    <w:rsid w:val="001C0445"/>
    <w:rsid w:val="001C0636"/>
    <w:rsid w:val="001C0665"/>
    <w:rsid w:val="001C0962"/>
    <w:rsid w:val="001C0D17"/>
    <w:rsid w:val="001C114B"/>
    <w:rsid w:val="001C25B7"/>
    <w:rsid w:val="001C2BAB"/>
    <w:rsid w:val="001C5479"/>
    <w:rsid w:val="001C60DA"/>
    <w:rsid w:val="001D0284"/>
    <w:rsid w:val="001D0903"/>
    <w:rsid w:val="001D132E"/>
    <w:rsid w:val="001D204C"/>
    <w:rsid w:val="001D661E"/>
    <w:rsid w:val="001D6858"/>
    <w:rsid w:val="001E17EC"/>
    <w:rsid w:val="001E4228"/>
    <w:rsid w:val="001E514E"/>
    <w:rsid w:val="001E553E"/>
    <w:rsid w:val="001F0862"/>
    <w:rsid w:val="001F16C8"/>
    <w:rsid w:val="001F1851"/>
    <w:rsid w:val="001F1C25"/>
    <w:rsid w:val="001F67B5"/>
    <w:rsid w:val="001F7604"/>
    <w:rsid w:val="00211843"/>
    <w:rsid w:val="00213914"/>
    <w:rsid w:val="00213978"/>
    <w:rsid w:val="00214D53"/>
    <w:rsid w:val="0021629F"/>
    <w:rsid w:val="0023188A"/>
    <w:rsid w:val="00233873"/>
    <w:rsid w:val="00234137"/>
    <w:rsid w:val="00235F46"/>
    <w:rsid w:val="002466CE"/>
    <w:rsid w:val="0025323C"/>
    <w:rsid w:val="002576F7"/>
    <w:rsid w:val="00260814"/>
    <w:rsid w:val="002766C3"/>
    <w:rsid w:val="00277CCC"/>
    <w:rsid w:val="002870B3"/>
    <w:rsid w:val="002940AF"/>
    <w:rsid w:val="002A0CD2"/>
    <w:rsid w:val="002A2A21"/>
    <w:rsid w:val="002A372F"/>
    <w:rsid w:val="002A43BC"/>
    <w:rsid w:val="002A4676"/>
    <w:rsid w:val="002A5EA6"/>
    <w:rsid w:val="002A700A"/>
    <w:rsid w:val="002B0033"/>
    <w:rsid w:val="002B0858"/>
    <w:rsid w:val="002B26C4"/>
    <w:rsid w:val="002B4A1E"/>
    <w:rsid w:val="002B69F2"/>
    <w:rsid w:val="002C0C80"/>
    <w:rsid w:val="002C31B2"/>
    <w:rsid w:val="002C3671"/>
    <w:rsid w:val="002C4567"/>
    <w:rsid w:val="002D4E0D"/>
    <w:rsid w:val="002D7787"/>
    <w:rsid w:val="002D7BC7"/>
    <w:rsid w:val="002E120B"/>
    <w:rsid w:val="002E70A5"/>
    <w:rsid w:val="002F0353"/>
    <w:rsid w:val="002F09C5"/>
    <w:rsid w:val="002F28AD"/>
    <w:rsid w:val="002F32CA"/>
    <w:rsid w:val="002F3889"/>
    <w:rsid w:val="002F74B5"/>
    <w:rsid w:val="00303B68"/>
    <w:rsid w:val="00303CF9"/>
    <w:rsid w:val="00303D38"/>
    <w:rsid w:val="003071BC"/>
    <w:rsid w:val="00307E67"/>
    <w:rsid w:val="00311A8C"/>
    <w:rsid w:val="0031417A"/>
    <w:rsid w:val="0031444F"/>
    <w:rsid w:val="00315167"/>
    <w:rsid w:val="003227A0"/>
    <w:rsid w:val="00323EFA"/>
    <w:rsid w:val="00324643"/>
    <w:rsid w:val="00330797"/>
    <w:rsid w:val="00332C6D"/>
    <w:rsid w:val="003433FA"/>
    <w:rsid w:val="00345BAF"/>
    <w:rsid w:val="00347085"/>
    <w:rsid w:val="00354AE8"/>
    <w:rsid w:val="00357405"/>
    <w:rsid w:val="00362676"/>
    <w:rsid w:val="00365DE0"/>
    <w:rsid w:val="00376C26"/>
    <w:rsid w:val="003865D5"/>
    <w:rsid w:val="003872C4"/>
    <w:rsid w:val="0039291D"/>
    <w:rsid w:val="00395263"/>
    <w:rsid w:val="003A151D"/>
    <w:rsid w:val="003B5607"/>
    <w:rsid w:val="003B5AD4"/>
    <w:rsid w:val="003B7D53"/>
    <w:rsid w:val="003C5F61"/>
    <w:rsid w:val="003C6D53"/>
    <w:rsid w:val="003D1C05"/>
    <w:rsid w:val="003D2DAF"/>
    <w:rsid w:val="003D313B"/>
    <w:rsid w:val="003D461C"/>
    <w:rsid w:val="003D544F"/>
    <w:rsid w:val="003E02E6"/>
    <w:rsid w:val="003E4B46"/>
    <w:rsid w:val="003E4EBC"/>
    <w:rsid w:val="003F11C6"/>
    <w:rsid w:val="003F16D6"/>
    <w:rsid w:val="003F62D8"/>
    <w:rsid w:val="0040195D"/>
    <w:rsid w:val="004138FF"/>
    <w:rsid w:val="00416C3F"/>
    <w:rsid w:val="00417904"/>
    <w:rsid w:val="00424D87"/>
    <w:rsid w:val="00425000"/>
    <w:rsid w:val="00432B85"/>
    <w:rsid w:val="00433DB9"/>
    <w:rsid w:val="00441721"/>
    <w:rsid w:val="004425B2"/>
    <w:rsid w:val="00445B39"/>
    <w:rsid w:val="00447697"/>
    <w:rsid w:val="00447DB7"/>
    <w:rsid w:val="00450D39"/>
    <w:rsid w:val="00453508"/>
    <w:rsid w:val="004539B0"/>
    <w:rsid w:val="00464A68"/>
    <w:rsid w:val="00465DD9"/>
    <w:rsid w:val="00467599"/>
    <w:rsid w:val="004717D3"/>
    <w:rsid w:val="00471DF1"/>
    <w:rsid w:val="00477C83"/>
    <w:rsid w:val="00481136"/>
    <w:rsid w:val="0049072B"/>
    <w:rsid w:val="00490EE9"/>
    <w:rsid w:val="004910DE"/>
    <w:rsid w:val="00492C36"/>
    <w:rsid w:val="004945A9"/>
    <w:rsid w:val="00494B24"/>
    <w:rsid w:val="0049661B"/>
    <w:rsid w:val="00497A67"/>
    <w:rsid w:val="004A2905"/>
    <w:rsid w:val="004A4DA9"/>
    <w:rsid w:val="004A59A8"/>
    <w:rsid w:val="004C16D9"/>
    <w:rsid w:val="004C2F6D"/>
    <w:rsid w:val="004C4179"/>
    <w:rsid w:val="004C50C6"/>
    <w:rsid w:val="004C54C6"/>
    <w:rsid w:val="004D1A73"/>
    <w:rsid w:val="004E09D2"/>
    <w:rsid w:val="004E23AD"/>
    <w:rsid w:val="004E5811"/>
    <w:rsid w:val="004F1472"/>
    <w:rsid w:val="004F20FC"/>
    <w:rsid w:val="004F2156"/>
    <w:rsid w:val="00504085"/>
    <w:rsid w:val="00507C1C"/>
    <w:rsid w:val="00515D4E"/>
    <w:rsid w:val="00516B04"/>
    <w:rsid w:val="0052163E"/>
    <w:rsid w:val="00521950"/>
    <w:rsid w:val="005300E2"/>
    <w:rsid w:val="00530950"/>
    <w:rsid w:val="00537BFD"/>
    <w:rsid w:val="005413C6"/>
    <w:rsid w:val="00543C15"/>
    <w:rsid w:val="00544F22"/>
    <w:rsid w:val="005460B9"/>
    <w:rsid w:val="00556DA2"/>
    <w:rsid w:val="00570A01"/>
    <w:rsid w:val="00572D4E"/>
    <w:rsid w:val="005738A7"/>
    <w:rsid w:val="0057430A"/>
    <w:rsid w:val="005750F0"/>
    <w:rsid w:val="0057572A"/>
    <w:rsid w:val="00577BBA"/>
    <w:rsid w:val="005818CF"/>
    <w:rsid w:val="00590321"/>
    <w:rsid w:val="0059244B"/>
    <w:rsid w:val="00597E74"/>
    <w:rsid w:val="005A2575"/>
    <w:rsid w:val="005A2934"/>
    <w:rsid w:val="005A3E45"/>
    <w:rsid w:val="005A4878"/>
    <w:rsid w:val="005A5D16"/>
    <w:rsid w:val="005B4003"/>
    <w:rsid w:val="005C5586"/>
    <w:rsid w:val="005C57E6"/>
    <w:rsid w:val="005C7EB6"/>
    <w:rsid w:val="005E4671"/>
    <w:rsid w:val="005E5D34"/>
    <w:rsid w:val="005F0550"/>
    <w:rsid w:val="005F0FB6"/>
    <w:rsid w:val="005F116D"/>
    <w:rsid w:val="005F30DC"/>
    <w:rsid w:val="005F3AD2"/>
    <w:rsid w:val="005F5B7C"/>
    <w:rsid w:val="005F77B0"/>
    <w:rsid w:val="00603FFF"/>
    <w:rsid w:val="00604674"/>
    <w:rsid w:val="006064E5"/>
    <w:rsid w:val="0061019B"/>
    <w:rsid w:val="006103E5"/>
    <w:rsid w:val="00611F4D"/>
    <w:rsid w:val="00611F50"/>
    <w:rsid w:val="00613316"/>
    <w:rsid w:val="00613620"/>
    <w:rsid w:val="00616BBE"/>
    <w:rsid w:val="00617127"/>
    <w:rsid w:val="006176D5"/>
    <w:rsid w:val="0062200C"/>
    <w:rsid w:val="00623C2D"/>
    <w:rsid w:val="00631846"/>
    <w:rsid w:val="0063538A"/>
    <w:rsid w:val="006407B1"/>
    <w:rsid w:val="00641C20"/>
    <w:rsid w:val="006425FE"/>
    <w:rsid w:val="00645847"/>
    <w:rsid w:val="00657763"/>
    <w:rsid w:val="00662CCD"/>
    <w:rsid w:val="00664F58"/>
    <w:rsid w:val="00667705"/>
    <w:rsid w:val="00670B10"/>
    <w:rsid w:val="006714DC"/>
    <w:rsid w:val="00671B64"/>
    <w:rsid w:val="00671BBC"/>
    <w:rsid w:val="006725AA"/>
    <w:rsid w:val="00676D30"/>
    <w:rsid w:val="00677C92"/>
    <w:rsid w:val="00680077"/>
    <w:rsid w:val="00681805"/>
    <w:rsid w:val="00683F0C"/>
    <w:rsid w:val="00692196"/>
    <w:rsid w:val="0069231E"/>
    <w:rsid w:val="0069727E"/>
    <w:rsid w:val="006A41D1"/>
    <w:rsid w:val="006B7C8D"/>
    <w:rsid w:val="006C1A31"/>
    <w:rsid w:val="006C2B51"/>
    <w:rsid w:val="006C65D5"/>
    <w:rsid w:val="006C766B"/>
    <w:rsid w:val="006E0189"/>
    <w:rsid w:val="006E311E"/>
    <w:rsid w:val="006E3203"/>
    <w:rsid w:val="006E3265"/>
    <w:rsid w:val="006E5097"/>
    <w:rsid w:val="006F1D92"/>
    <w:rsid w:val="006F675E"/>
    <w:rsid w:val="006F76C2"/>
    <w:rsid w:val="0070388C"/>
    <w:rsid w:val="00703A3E"/>
    <w:rsid w:val="00706C7F"/>
    <w:rsid w:val="00710924"/>
    <w:rsid w:val="00711957"/>
    <w:rsid w:val="00714938"/>
    <w:rsid w:val="00714DCF"/>
    <w:rsid w:val="0071707D"/>
    <w:rsid w:val="00720F97"/>
    <w:rsid w:val="00722160"/>
    <w:rsid w:val="007222ED"/>
    <w:rsid w:val="007224C1"/>
    <w:rsid w:val="00726E0C"/>
    <w:rsid w:val="00726FF5"/>
    <w:rsid w:val="00730243"/>
    <w:rsid w:val="0073567A"/>
    <w:rsid w:val="00737F9A"/>
    <w:rsid w:val="007468FF"/>
    <w:rsid w:val="00751DF5"/>
    <w:rsid w:val="007530F2"/>
    <w:rsid w:val="00753FB0"/>
    <w:rsid w:val="007540AA"/>
    <w:rsid w:val="0075668A"/>
    <w:rsid w:val="00757067"/>
    <w:rsid w:val="00760786"/>
    <w:rsid w:val="00760E50"/>
    <w:rsid w:val="00763C8F"/>
    <w:rsid w:val="00764255"/>
    <w:rsid w:val="00767EAE"/>
    <w:rsid w:val="00767FCB"/>
    <w:rsid w:val="007708D9"/>
    <w:rsid w:val="0077241E"/>
    <w:rsid w:val="007806B9"/>
    <w:rsid w:val="00780DF8"/>
    <w:rsid w:val="00781806"/>
    <w:rsid w:val="00783DB8"/>
    <w:rsid w:val="0078509D"/>
    <w:rsid w:val="007863F2"/>
    <w:rsid w:val="007931B9"/>
    <w:rsid w:val="00797FBF"/>
    <w:rsid w:val="007A1648"/>
    <w:rsid w:val="007A348B"/>
    <w:rsid w:val="007A52FD"/>
    <w:rsid w:val="007A5E68"/>
    <w:rsid w:val="007B074C"/>
    <w:rsid w:val="007C0B9E"/>
    <w:rsid w:val="007C20BD"/>
    <w:rsid w:val="007C297C"/>
    <w:rsid w:val="007C532C"/>
    <w:rsid w:val="007D1A2D"/>
    <w:rsid w:val="007D5687"/>
    <w:rsid w:val="007E3BB5"/>
    <w:rsid w:val="007E44D7"/>
    <w:rsid w:val="007E685D"/>
    <w:rsid w:val="007E7FE9"/>
    <w:rsid w:val="007F02D4"/>
    <w:rsid w:val="007F0668"/>
    <w:rsid w:val="007F0F73"/>
    <w:rsid w:val="00807031"/>
    <w:rsid w:val="00811B88"/>
    <w:rsid w:val="00811F23"/>
    <w:rsid w:val="008132D2"/>
    <w:rsid w:val="00816E4B"/>
    <w:rsid w:val="00825DDC"/>
    <w:rsid w:val="008323A7"/>
    <w:rsid w:val="0083297A"/>
    <w:rsid w:val="008337A5"/>
    <w:rsid w:val="00836C8B"/>
    <w:rsid w:val="008434E1"/>
    <w:rsid w:val="00844025"/>
    <w:rsid w:val="008455CB"/>
    <w:rsid w:val="00847ADA"/>
    <w:rsid w:val="008507F3"/>
    <w:rsid w:val="00855ED9"/>
    <w:rsid w:val="00862570"/>
    <w:rsid w:val="008659C5"/>
    <w:rsid w:val="00865F66"/>
    <w:rsid w:val="00872046"/>
    <w:rsid w:val="00872902"/>
    <w:rsid w:val="00883A76"/>
    <w:rsid w:val="008847A7"/>
    <w:rsid w:val="00887C61"/>
    <w:rsid w:val="0089413A"/>
    <w:rsid w:val="0089550D"/>
    <w:rsid w:val="008956E5"/>
    <w:rsid w:val="0089788F"/>
    <w:rsid w:val="008A0C88"/>
    <w:rsid w:val="008A256F"/>
    <w:rsid w:val="008A3970"/>
    <w:rsid w:val="008A44A9"/>
    <w:rsid w:val="008B69C3"/>
    <w:rsid w:val="008C2D09"/>
    <w:rsid w:val="008C47E1"/>
    <w:rsid w:val="008C6819"/>
    <w:rsid w:val="008D17BC"/>
    <w:rsid w:val="008D219A"/>
    <w:rsid w:val="008D6699"/>
    <w:rsid w:val="008D72B9"/>
    <w:rsid w:val="008F263C"/>
    <w:rsid w:val="008F32F5"/>
    <w:rsid w:val="008F4F22"/>
    <w:rsid w:val="008F5B07"/>
    <w:rsid w:val="008F6846"/>
    <w:rsid w:val="008F69E8"/>
    <w:rsid w:val="008F6CE5"/>
    <w:rsid w:val="00900154"/>
    <w:rsid w:val="009002FC"/>
    <w:rsid w:val="00904E9D"/>
    <w:rsid w:val="00910FA9"/>
    <w:rsid w:val="00910FB9"/>
    <w:rsid w:val="00911B97"/>
    <w:rsid w:val="00911D23"/>
    <w:rsid w:val="00911FC6"/>
    <w:rsid w:val="00917EBC"/>
    <w:rsid w:val="009258DA"/>
    <w:rsid w:val="00932FD6"/>
    <w:rsid w:val="0093766F"/>
    <w:rsid w:val="00941055"/>
    <w:rsid w:val="00942F4C"/>
    <w:rsid w:val="00943F54"/>
    <w:rsid w:val="00945182"/>
    <w:rsid w:val="00950B30"/>
    <w:rsid w:val="00953D26"/>
    <w:rsid w:val="00955ED4"/>
    <w:rsid w:val="00960DE8"/>
    <w:rsid w:val="00965F8C"/>
    <w:rsid w:val="00966838"/>
    <w:rsid w:val="00971F66"/>
    <w:rsid w:val="009848BF"/>
    <w:rsid w:val="0098742A"/>
    <w:rsid w:val="0099052E"/>
    <w:rsid w:val="009947B3"/>
    <w:rsid w:val="00994F68"/>
    <w:rsid w:val="009966E8"/>
    <w:rsid w:val="00997610"/>
    <w:rsid w:val="009A4131"/>
    <w:rsid w:val="009A612E"/>
    <w:rsid w:val="009B68C7"/>
    <w:rsid w:val="009C1B1A"/>
    <w:rsid w:val="009D077D"/>
    <w:rsid w:val="009D3778"/>
    <w:rsid w:val="009D575C"/>
    <w:rsid w:val="009E2A7D"/>
    <w:rsid w:val="009E38D9"/>
    <w:rsid w:val="009E79B2"/>
    <w:rsid w:val="009F2005"/>
    <w:rsid w:val="009F4549"/>
    <w:rsid w:val="009F4E6B"/>
    <w:rsid w:val="009F6689"/>
    <w:rsid w:val="00A0208D"/>
    <w:rsid w:val="00A073FC"/>
    <w:rsid w:val="00A129E5"/>
    <w:rsid w:val="00A1522C"/>
    <w:rsid w:val="00A15AA0"/>
    <w:rsid w:val="00A16937"/>
    <w:rsid w:val="00A23CC3"/>
    <w:rsid w:val="00A24285"/>
    <w:rsid w:val="00A2520E"/>
    <w:rsid w:val="00A25838"/>
    <w:rsid w:val="00A25F8A"/>
    <w:rsid w:val="00A26E2B"/>
    <w:rsid w:val="00A26FC3"/>
    <w:rsid w:val="00A31830"/>
    <w:rsid w:val="00A345E1"/>
    <w:rsid w:val="00A34F6A"/>
    <w:rsid w:val="00A35DD4"/>
    <w:rsid w:val="00A36298"/>
    <w:rsid w:val="00A42C96"/>
    <w:rsid w:val="00A43FBC"/>
    <w:rsid w:val="00A443F5"/>
    <w:rsid w:val="00A449A2"/>
    <w:rsid w:val="00A5112D"/>
    <w:rsid w:val="00A6007C"/>
    <w:rsid w:val="00A609F4"/>
    <w:rsid w:val="00A63F5C"/>
    <w:rsid w:val="00A659BA"/>
    <w:rsid w:val="00A66092"/>
    <w:rsid w:val="00A664F7"/>
    <w:rsid w:val="00A66E12"/>
    <w:rsid w:val="00A733FF"/>
    <w:rsid w:val="00A80E21"/>
    <w:rsid w:val="00A83309"/>
    <w:rsid w:val="00A8418F"/>
    <w:rsid w:val="00A858B0"/>
    <w:rsid w:val="00A90199"/>
    <w:rsid w:val="00A9354A"/>
    <w:rsid w:val="00A96E1A"/>
    <w:rsid w:val="00AA01FB"/>
    <w:rsid w:val="00AA2B64"/>
    <w:rsid w:val="00AA6F62"/>
    <w:rsid w:val="00AA75DA"/>
    <w:rsid w:val="00AB2EA4"/>
    <w:rsid w:val="00AB5C62"/>
    <w:rsid w:val="00AB6CAF"/>
    <w:rsid w:val="00AB7336"/>
    <w:rsid w:val="00AC5CAB"/>
    <w:rsid w:val="00AD00CB"/>
    <w:rsid w:val="00AE0CA4"/>
    <w:rsid w:val="00AE14EB"/>
    <w:rsid w:val="00AE2F57"/>
    <w:rsid w:val="00AE4149"/>
    <w:rsid w:val="00AE4AC2"/>
    <w:rsid w:val="00AE50B8"/>
    <w:rsid w:val="00AE7621"/>
    <w:rsid w:val="00AF25B6"/>
    <w:rsid w:val="00AF71A5"/>
    <w:rsid w:val="00AF72C1"/>
    <w:rsid w:val="00AF7F93"/>
    <w:rsid w:val="00B037AA"/>
    <w:rsid w:val="00B06401"/>
    <w:rsid w:val="00B06969"/>
    <w:rsid w:val="00B222C6"/>
    <w:rsid w:val="00B23DA2"/>
    <w:rsid w:val="00B26CB3"/>
    <w:rsid w:val="00B314A2"/>
    <w:rsid w:val="00B3187C"/>
    <w:rsid w:val="00B34DDF"/>
    <w:rsid w:val="00B44668"/>
    <w:rsid w:val="00B648B3"/>
    <w:rsid w:val="00B72719"/>
    <w:rsid w:val="00B72AEA"/>
    <w:rsid w:val="00B803C1"/>
    <w:rsid w:val="00B8228D"/>
    <w:rsid w:val="00B83072"/>
    <w:rsid w:val="00B835FE"/>
    <w:rsid w:val="00B84212"/>
    <w:rsid w:val="00B86A80"/>
    <w:rsid w:val="00B90E28"/>
    <w:rsid w:val="00B92EFE"/>
    <w:rsid w:val="00B955AB"/>
    <w:rsid w:val="00B95FE0"/>
    <w:rsid w:val="00BA41F7"/>
    <w:rsid w:val="00BA5DB9"/>
    <w:rsid w:val="00BA7862"/>
    <w:rsid w:val="00BB14D0"/>
    <w:rsid w:val="00BB1902"/>
    <w:rsid w:val="00BB34B1"/>
    <w:rsid w:val="00BB4BC6"/>
    <w:rsid w:val="00BB6F8F"/>
    <w:rsid w:val="00BC304B"/>
    <w:rsid w:val="00BC41FF"/>
    <w:rsid w:val="00BE31C5"/>
    <w:rsid w:val="00BF0D02"/>
    <w:rsid w:val="00BF59AC"/>
    <w:rsid w:val="00BF7D4A"/>
    <w:rsid w:val="00C01501"/>
    <w:rsid w:val="00C02D38"/>
    <w:rsid w:val="00C02E03"/>
    <w:rsid w:val="00C1557E"/>
    <w:rsid w:val="00C15956"/>
    <w:rsid w:val="00C334B6"/>
    <w:rsid w:val="00C35293"/>
    <w:rsid w:val="00C41273"/>
    <w:rsid w:val="00C44858"/>
    <w:rsid w:val="00C44C60"/>
    <w:rsid w:val="00C51F85"/>
    <w:rsid w:val="00C521A3"/>
    <w:rsid w:val="00C5294D"/>
    <w:rsid w:val="00C535A6"/>
    <w:rsid w:val="00C540E4"/>
    <w:rsid w:val="00C57E55"/>
    <w:rsid w:val="00C63EDF"/>
    <w:rsid w:val="00C7037E"/>
    <w:rsid w:val="00C71F33"/>
    <w:rsid w:val="00C74E95"/>
    <w:rsid w:val="00C812D0"/>
    <w:rsid w:val="00C83FE4"/>
    <w:rsid w:val="00C841B5"/>
    <w:rsid w:val="00C874DE"/>
    <w:rsid w:val="00C90616"/>
    <w:rsid w:val="00CA0764"/>
    <w:rsid w:val="00CA367B"/>
    <w:rsid w:val="00CA36C1"/>
    <w:rsid w:val="00CA3855"/>
    <w:rsid w:val="00CA5CD2"/>
    <w:rsid w:val="00CA6B62"/>
    <w:rsid w:val="00CB08D0"/>
    <w:rsid w:val="00CD02EB"/>
    <w:rsid w:val="00CE006F"/>
    <w:rsid w:val="00CE1680"/>
    <w:rsid w:val="00CE26C8"/>
    <w:rsid w:val="00CE31A9"/>
    <w:rsid w:val="00CE4156"/>
    <w:rsid w:val="00CE6E48"/>
    <w:rsid w:val="00CF0EDB"/>
    <w:rsid w:val="00CF1EF1"/>
    <w:rsid w:val="00CF2622"/>
    <w:rsid w:val="00D021FA"/>
    <w:rsid w:val="00D1207C"/>
    <w:rsid w:val="00D15F27"/>
    <w:rsid w:val="00D163FE"/>
    <w:rsid w:val="00D169C6"/>
    <w:rsid w:val="00D16D14"/>
    <w:rsid w:val="00D206AE"/>
    <w:rsid w:val="00D26342"/>
    <w:rsid w:val="00D26987"/>
    <w:rsid w:val="00D376AF"/>
    <w:rsid w:val="00D41457"/>
    <w:rsid w:val="00D41595"/>
    <w:rsid w:val="00D452E9"/>
    <w:rsid w:val="00D4716F"/>
    <w:rsid w:val="00D47B25"/>
    <w:rsid w:val="00D526A9"/>
    <w:rsid w:val="00D53109"/>
    <w:rsid w:val="00D55879"/>
    <w:rsid w:val="00D56398"/>
    <w:rsid w:val="00D56907"/>
    <w:rsid w:val="00D56A22"/>
    <w:rsid w:val="00D62988"/>
    <w:rsid w:val="00D642DF"/>
    <w:rsid w:val="00D66E4E"/>
    <w:rsid w:val="00D67F9C"/>
    <w:rsid w:val="00D7205F"/>
    <w:rsid w:val="00D818C3"/>
    <w:rsid w:val="00D85819"/>
    <w:rsid w:val="00D902AC"/>
    <w:rsid w:val="00D97353"/>
    <w:rsid w:val="00DA02AE"/>
    <w:rsid w:val="00DA3122"/>
    <w:rsid w:val="00DA4156"/>
    <w:rsid w:val="00DA4181"/>
    <w:rsid w:val="00DA4C69"/>
    <w:rsid w:val="00DA5CCC"/>
    <w:rsid w:val="00DB1D46"/>
    <w:rsid w:val="00DB2627"/>
    <w:rsid w:val="00DB4A38"/>
    <w:rsid w:val="00DB5D0B"/>
    <w:rsid w:val="00DC4542"/>
    <w:rsid w:val="00DC6B00"/>
    <w:rsid w:val="00DD5DA4"/>
    <w:rsid w:val="00DD5E48"/>
    <w:rsid w:val="00DD6B41"/>
    <w:rsid w:val="00DE0CD0"/>
    <w:rsid w:val="00DE633E"/>
    <w:rsid w:val="00DE6BB0"/>
    <w:rsid w:val="00DF1BE2"/>
    <w:rsid w:val="00DF1CDE"/>
    <w:rsid w:val="00DF53BC"/>
    <w:rsid w:val="00DF6DC1"/>
    <w:rsid w:val="00DF73C4"/>
    <w:rsid w:val="00E02FCE"/>
    <w:rsid w:val="00E063E5"/>
    <w:rsid w:val="00E075EA"/>
    <w:rsid w:val="00E15D14"/>
    <w:rsid w:val="00E226A4"/>
    <w:rsid w:val="00E26E00"/>
    <w:rsid w:val="00E322B3"/>
    <w:rsid w:val="00E37092"/>
    <w:rsid w:val="00E40853"/>
    <w:rsid w:val="00E40988"/>
    <w:rsid w:val="00E45654"/>
    <w:rsid w:val="00E47327"/>
    <w:rsid w:val="00E531DF"/>
    <w:rsid w:val="00E549F4"/>
    <w:rsid w:val="00E54F20"/>
    <w:rsid w:val="00E5606E"/>
    <w:rsid w:val="00E56A29"/>
    <w:rsid w:val="00E63052"/>
    <w:rsid w:val="00E63E32"/>
    <w:rsid w:val="00E72EF8"/>
    <w:rsid w:val="00E76EC9"/>
    <w:rsid w:val="00E77D77"/>
    <w:rsid w:val="00EA4B75"/>
    <w:rsid w:val="00EA5385"/>
    <w:rsid w:val="00EB07A2"/>
    <w:rsid w:val="00EB1276"/>
    <w:rsid w:val="00EB7582"/>
    <w:rsid w:val="00ED4C07"/>
    <w:rsid w:val="00ED5580"/>
    <w:rsid w:val="00EE1D2B"/>
    <w:rsid w:val="00EE249E"/>
    <w:rsid w:val="00EE40F9"/>
    <w:rsid w:val="00EE75CE"/>
    <w:rsid w:val="00EF117A"/>
    <w:rsid w:val="00EF1F34"/>
    <w:rsid w:val="00EF4DE9"/>
    <w:rsid w:val="00F0019B"/>
    <w:rsid w:val="00F02D7F"/>
    <w:rsid w:val="00F02ECA"/>
    <w:rsid w:val="00F05B1A"/>
    <w:rsid w:val="00F07578"/>
    <w:rsid w:val="00F13B73"/>
    <w:rsid w:val="00F13BDE"/>
    <w:rsid w:val="00F146E5"/>
    <w:rsid w:val="00F15402"/>
    <w:rsid w:val="00F22EBC"/>
    <w:rsid w:val="00F2409A"/>
    <w:rsid w:val="00F2411B"/>
    <w:rsid w:val="00F2650B"/>
    <w:rsid w:val="00F30F4A"/>
    <w:rsid w:val="00F33BEE"/>
    <w:rsid w:val="00F3419B"/>
    <w:rsid w:val="00F342BB"/>
    <w:rsid w:val="00F40464"/>
    <w:rsid w:val="00F40940"/>
    <w:rsid w:val="00F40D4A"/>
    <w:rsid w:val="00F41539"/>
    <w:rsid w:val="00F417C8"/>
    <w:rsid w:val="00F439C8"/>
    <w:rsid w:val="00F57C5D"/>
    <w:rsid w:val="00F62715"/>
    <w:rsid w:val="00F644E7"/>
    <w:rsid w:val="00F72BD4"/>
    <w:rsid w:val="00F765C9"/>
    <w:rsid w:val="00F82563"/>
    <w:rsid w:val="00F83BBB"/>
    <w:rsid w:val="00F83E9F"/>
    <w:rsid w:val="00F842D9"/>
    <w:rsid w:val="00F94521"/>
    <w:rsid w:val="00F94C11"/>
    <w:rsid w:val="00F9559D"/>
    <w:rsid w:val="00FA00EC"/>
    <w:rsid w:val="00FA0284"/>
    <w:rsid w:val="00FA0CB1"/>
    <w:rsid w:val="00FB0186"/>
    <w:rsid w:val="00FB218C"/>
    <w:rsid w:val="00FB69AD"/>
    <w:rsid w:val="00FD178D"/>
    <w:rsid w:val="00FD26C4"/>
    <w:rsid w:val="00FD3482"/>
    <w:rsid w:val="00FD5692"/>
    <w:rsid w:val="00FD6F3D"/>
    <w:rsid w:val="00FE67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800E1C"/>
  <w14:defaultImageDpi w14:val="32767"/>
  <w15:chartTrackingRefBased/>
  <w15:docId w15:val="{17A79360-7AD9-4E21-859B-98929BFCA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50C6"/>
    <w:pPr>
      <w:tabs>
        <w:tab w:val="center" w:pos="4536"/>
        <w:tab w:val="right" w:pos="9072"/>
      </w:tabs>
      <w:spacing w:after="0" w:line="240" w:lineRule="auto"/>
    </w:pPr>
  </w:style>
  <w:style w:type="character" w:customStyle="1" w:styleId="HeaderChar">
    <w:name w:val="Header Char"/>
    <w:basedOn w:val="DefaultParagraphFont"/>
    <w:link w:val="Header"/>
    <w:uiPriority w:val="99"/>
    <w:rsid w:val="004C50C6"/>
  </w:style>
  <w:style w:type="paragraph" w:styleId="Footer">
    <w:name w:val="footer"/>
    <w:basedOn w:val="Normal"/>
    <w:link w:val="FooterChar"/>
    <w:uiPriority w:val="99"/>
    <w:unhideWhenUsed/>
    <w:rsid w:val="004C50C6"/>
    <w:pPr>
      <w:tabs>
        <w:tab w:val="center" w:pos="4536"/>
        <w:tab w:val="right" w:pos="9072"/>
      </w:tabs>
      <w:spacing w:after="0" w:line="240" w:lineRule="auto"/>
    </w:pPr>
  </w:style>
  <w:style w:type="character" w:customStyle="1" w:styleId="FooterChar">
    <w:name w:val="Footer Char"/>
    <w:basedOn w:val="DefaultParagraphFont"/>
    <w:link w:val="Footer"/>
    <w:uiPriority w:val="99"/>
    <w:rsid w:val="004C50C6"/>
  </w:style>
  <w:style w:type="paragraph" w:styleId="FootnoteText">
    <w:name w:val="footnote text"/>
    <w:basedOn w:val="Normal"/>
    <w:link w:val="FootnoteTextChar"/>
    <w:uiPriority w:val="99"/>
    <w:semiHidden/>
    <w:unhideWhenUsed/>
    <w:rsid w:val="00164C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4CD2"/>
    <w:rPr>
      <w:sz w:val="20"/>
      <w:szCs w:val="20"/>
    </w:rPr>
  </w:style>
  <w:style w:type="character" w:styleId="FootnoteReference">
    <w:name w:val="footnote reference"/>
    <w:basedOn w:val="DefaultParagraphFont"/>
    <w:uiPriority w:val="99"/>
    <w:semiHidden/>
    <w:unhideWhenUsed/>
    <w:rsid w:val="00164CD2"/>
    <w:rPr>
      <w:vertAlign w:val="superscript"/>
    </w:rPr>
  </w:style>
  <w:style w:type="paragraph" w:styleId="Caption">
    <w:name w:val="caption"/>
    <w:basedOn w:val="Normal"/>
    <w:next w:val="Normal"/>
    <w:uiPriority w:val="35"/>
    <w:unhideWhenUsed/>
    <w:qFormat/>
    <w:rsid w:val="00E15D14"/>
    <w:pPr>
      <w:spacing w:after="200" w:line="240" w:lineRule="auto"/>
    </w:pPr>
    <w:rPr>
      <w:i/>
      <w:iCs/>
      <w:color w:val="44546A" w:themeColor="text2"/>
      <w:sz w:val="18"/>
      <w:szCs w:val="18"/>
    </w:rPr>
  </w:style>
  <w:style w:type="table" w:styleId="TableGrid">
    <w:name w:val="Table Grid"/>
    <w:basedOn w:val="TableNormal"/>
    <w:uiPriority w:val="39"/>
    <w:rsid w:val="006F7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6716C"/>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styleId="Hyperlink">
    <w:name w:val="Hyperlink"/>
    <w:basedOn w:val="DefaultParagraphFont"/>
    <w:uiPriority w:val="99"/>
    <w:unhideWhenUsed/>
    <w:rsid w:val="004A2905"/>
    <w:rPr>
      <w:color w:val="0563C1" w:themeColor="hyperlink"/>
      <w:u w:val="single"/>
    </w:rPr>
  </w:style>
  <w:style w:type="character" w:customStyle="1" w:styleId="UnresolvedMention1">
    <w:name w:val="Unresolved Mention1"/>
    <w:basedOn w:val="DefaultParagraphFont"/>
    <w:uiPriority w:val="99"/>
    <w:semiHidden/>
    <w:unhideWhenUsed/>
    <w:rsid w:val="004A2905"/>
    <w:rPr>
      <w:color w:val="808080"/>
      <w:shd w:val="clear" w:color="auto" w:fill="E6E6E6"/>
    </w:rPr>
  </w:style>
  <w:style w:type="paragraph" w:styleId="BalloonText">
    <w:name w:val="Balloon Text"/>
    <w:basedOn w:val="Normal"/>
    <w:link w:val="BalloonTextChar"/>
    <w:uiPriority w:val="99"/>
    <w:semiHidden/>
    <w:unhideWhenUsed/>
    <w:rsid w:val="00214D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4D53"/>
    <w:rPr>
      <w:rFonts w:ascii="Segoe UI" w:hAnsi="Segoe UI" w:cs="Segoe UI"/>
      <w:sz w:val="18"/>
      <w:szCs w:val="18"/>
    </w:rPr>
  </w:style>
  <w:style w:type="table" w:styleId="PlainTable5">
    <w:name w:val="Plain Table 5"/>
    <w:basedOn w:val="TableNormal"/>
    <w:uiPriority w:val="45"/>
    <w:rsid w:val="00450D3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450D3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2">
    <w:name w:val="Grid Table 2"/>
    <w:basedOn w:val="TableNormal"/>
    <w:uiPriority w:val="47"/>
    <w:rsid w:val="00450D3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0821346">
      <w:bodyDiv w:val="1"/>
      <w:marLeft w:val="0"/>
      <w:marRight w:val="0"/>
      <w:marTop w:val="0"/>
      <w:marBottom w:val="0"/>
      <w:divBdr>
        <w:top w:val="none" w:sz="0" w:space="0" w:color="auto"/>
        <w:left w:val="none" w:sz="0" w:space="0" w:color="auto"/>
        <w:bottom w:val="none" w:sz="0" w:space="0" w:color="auto"/>
        <w:right w:val="none" w:sz="0" w:space="0" w:color="auto"/>
      </w:divBdr>
    </w:div>
    <w:div w:id="1150171264">
      <w:bodyDiv w:val="1"/>
      <w:marLeft w:val="0"/>
      <w:marRight w:val="0"/>
      <w:marTop w:val="0"/>
      <w:marBottom w:val="0"/>
      <w:divBdr>
        <w:top w:val="none" w:sz="0" w:space="0" w:color="auto"/>
        <w:left w:val="none" w:sz="0" w:space="0" w:color="auto"/>
        <w:bottom w:val="none" w:sz="0" w:space="0" w:color="auto"/>
        <w:right w:val="none" w:sz="0" w:space="0" w:color="auto"/>
      </w:divBdr>
    </w:div>
    <w:div w:id="1813281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diagramData" Target="diagrams/data1.xml"/><Relationship Id="rId39" Type="http://schemas.openxmlformats.org/officeDocument/2006/relationships/image" Target="media/image17.png"/><Relationship Id="rId21" Type="http://schemas.openxmlformats.org/officeDocument/2006/relationships/image" Target="media/image7.emf"/><Relationship Id="rId34" Type="http://schemas.openxmlformats.org/officeDocument/2006/relationships/image" Target="media/image12.png"/><Relationship Id="rId42" Type="http://schemas.openxmlformats.org/officeDocument/2006/relationships/image" Target="media/image19.png"/><Relationship Id="rId7" Type="http://schemas.openxmlformats.org/officeDocument/2006/relationships/hyperlink" Target="mailto:andreas.tosstorff@cup.uni-muenchen.de" TargetMode="External"/><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8.png"/><Relationship Id="rId32" Type="http://schemas.openxmlformats.org/officeDocument/2006/relationships/footer" Target="footer3.xm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footer" Target="footer2.xml"/><Relationship Id="rId28" Type="http://schemas.openxmlformats.org/officeDocument/2006/relationships/diagramQuickStyle" Target="diagrams/quickStyle1.xml"/><Relationship Id="rId36" Type="http://schemas.openxmlformats.org/officeDocument/2006/relationships/image" Target="media/image14.png"/><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media/image10.jpeg"/><Relationship Id="rId44"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13.png"/><Relationship Id="rId43" Type="http://schemas.openxmlformats.org/officeDocument/2006/relationships/image" Target="media/image20.png"/><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footer" Target="footer4.xml"/></Relationships>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FD3364-4BE2-4FB7-953E-CF42026ED9C9}" type="doc">
      <dgm:prSet loTypeId="urn:microsoft.com/office/officeart/2005/8/layout/pyramid3" loCatId="pyramid" qsTypeId="urn:microsoft.com/office/officeart/2005/8/quickstyle/simple1" qsCatId="simple" csTypeId="urn:microsoft.com/office/officeart/2005/8/colors/accent3_3" csCatId="accent3" phldr="1"/>
      <dgm:spPr/>
    </dgm:pt>
    <dgm:pt modelId="{B8C5AE61-A3F9-4263-9067-29BF05F687DC}">
      <dgm:prSet phldrT="[Text]" custT="1"/>
      <dgm:spPr/>
      <dgm:t>
        <a:bodyPr/>
        <a:lstStyle/>
        <a:p>
          <a:r>
            <a:rPr lang="de-DE" sz="800" dirty="0" err="1"/>
            <a:t>Solubility</a:t>
          </a:r>
          <a:r>
            <a:rPr lang="de-DE" sz="800" dirty="0"/>
            <a:t>, </a:t>
          </a:r>
          <a:r>
            <a:rPr lang="de-DE" sz="800" dirty="0" err="1"/>
            <a:t>availability</a:t>
          </a:r>
          <a:r>
            <a:rPr lang="de-DE" sz="800" dirty="0"/>
            <a:t> </a:t>
          </a:r>
          <a:r>
            <a:rPr lang="de-DE" sz="800" dirty="0" err="1"/>
            <a:t>and</a:t>
          </a:r>
          <a:r>
            <a:rPr lang="de-DE" sz="800" dirty="0"/>
            <a:t> </a:t>
          </a:r>
          <a:r>
            <a:rPr lang="de-DE" sz="800" dirty="0" err="1"/>
            <a:t>reactivity</a:t>
          </a:r>
          <a:r>
            <a:rPr lang="de-DE" sz="800" dirty="0"/>
            <a:t>: ZINC 15 </a:t>
          </a:r>
          <a:r>
            <a:rPr lang="de-DE" sz="800" dirty="0" err="1"/>
            <a:t>Tranches</a:t>
          </a:r>
          <a:endParaRPr lang="de-DE" sz="800" dirty="0"/>
        </a:p>
      </dgm:t>
    </dgm:pt>
    <dgm:pt modelId="{8BD95363-299E-46A7-A5CC-393E3923ABCA}" type="parTrans" cxnId="{448EC4E4-F7FB-4D3D-9293-E959690DE165}">
      <dgm:prSet/>
      <dgm:spPr/>
      <dgm:t>
        <a:bodyPr/>
        <a:lstStyle/>
        <a:p>
          <a:endParaRPr lang="de-DE" sz="800"/>
        </a:p>
      </dgm:t>
    </dgm:pt>
    <dgm:pt modelId="{EF957111-199C-4C3C-8A20-02191C093708}" type="sibTrans" cxnId="{448EC4E4-F7FB-4D3D-9293-E959690DE165}">
      <dgm:prSet/>
      <dgm:spPr/>
      <dgm:t>
        <a:bodyPr/>
        <a:lstStyle/>
        <a:p>
          <a:endParaRPr lang="de-DE" sz="800"/>
        </a:p>
      </dgm:t>
    </dgm:pt>
    <dgm:pt modelId="{C28325A1-AE35-4C3F-B53E-70E025084B66}">
      <dgm:prSet phldrT="[Text]" custT="1"/>
      <dgm:spPr/>
      <dgm:t>
        <a:bodyPr/>
        <a:lstStyle/>
        <a:p>
          <a:r>
            <a:rPr lang="de-DE" sz="800" dirty="0"/>
            <a:t>2nd </a:t>
          </a:r>
          <a:r>
            <a:rPr lang="de-DE" sz="800" dirty="0" err="1"/>
            <a:t>solubility and reactivity</a:t>
          </a:r>
          <a:r>
            <a:rPr lang="de-DE" sz="800" dirty="0"/>
            <a:t> </a:t>
          </a:r>
          <a:r>
            <a:rPr lang="de-DE" sz="800" dirty="0" err="1"/>
            <a:t>filter</a:t>
          </a:r>
          <a:r>
            <a:rPr lang="de-DE" sz="800" dirty="0"/>
            <a:t>: </a:t>
          </a:r>
          <a:r>
            <a:rPr lang="de-DE" sz="800" dirty="0" err="1"/>
            <a:t>Qikprop</a:t>
          </a:r>
          <a:endParaRPr lang="de-DE" sz="800" dirty="0"/>
        </a:p>
      </dgm:t>
    </dgm:pt>
    <dgm:pt modelId="{9E2B0AD3-FF25-45DC-A974-6BD7FF4FA827}" type="parTrans" cxnId="{A45B78BE-3512-4D02-9A9B-F40DFDF166B8}">
      <dgm:prSet/>
      <dgm:spPr/>
      <dgm:t>
        <a:bodyPr/>
        <a:lstStyle/>
        <a:p>
          <a:endParaRPr lang="de-DE" sz="800"/>
        </a:p>
      </dgm:t>
    </dgm:pt>
    <dgm:pt modelId="{908FFFB9-C919-472E-9BCC-E8C1C5B60E4D}" type="sibTrans" cxnId="{A45B78BE-3512-4D02-9A9B-F40DFDF166B8}">
      <dgm:prSet/>
      <dgm:spPr/>
      <dgm:t>
        <a:bodyPr/>
        <a:lstStyle/>
        <a:p>
          <a:endParaRPr lang="de-DE" sz="800"/>
        </a:p>
      </dgm:t>
    </dgm:pt>
    <dgm:pt modelId="{1719FF43-97E9-4190-9CE7-C767D0792A61}">
      <dgm:prSet phldrT="[Text]" custT="1"/>
      <dgm:spPr/>
      <dgm:t>
        <a:bodyPr/>
        <a:lstStyle/>
        <a:p>
          <a:r>
            <a:rPr lang="de-DE" sz="800" dirty="0" err="1"/>
            <a:t>Glide</a:t>
          </a:r>
          <a:r>
            <a:rPr lang="de-DE" sz="800" dirty="0"/>
            <a:t> Docking</a:t>
          </a:r>
        </a:p>
      </dgm:t>
    </dgm:pt>
    <dgm:pt modelId="{0EE4AE2D-3A2C-4714-9E03-B345E546BD71}" type="parTrans" cxnId="{1CF7388D-0D1E-4A11-A44A-617BB1DC89BC}">
      <dgm:prSet/>
      <dgm:spPr/>
      <dgm:t>
        <a:bodyPr/>
        <a:lstStyle/>
        <a:p>
          <a:endParaRPr lang="de-DE" sz="800"/>
        </a:p>
      </dgm:t>
    </dgm:pt>
    <dgm:pt modelId="{2E3F8A0E-2CD9-427A-B779-8DF08F525670}" type="sibTrans" cxnId="{1CF7388D-0D1E-4A11-A44A-617BB1DC89BC}">
      <dgm:prSet/>
      <dgm:spPr/>
      <dgm:t>
        <a:bodyPr/>
        <a:lstStyle/>
        <a:p>
          <a:endParaRPr lang="de-DE" sz="800"/>
        </a:p>
      </dgm:t>
    </dgm:pt>
    <dgm:pt modelId="{E0973FD2-833E-4A58-9851-AE09141FB6F6}">
      <dgm:prSet custT="1"/>
      <dgm:spPr/>
      <dgm:t>
        <a:bodyPr/>
        <a:lstStyle/>
        <a:p>
          <a:r>
            <a:rPr lang="de-DE" sz="800" dirty="0"/>
            <a:t>MM-GBSA </a:t>
          </a:r>
          <a:r>
            <a:rPr lang="de-DE" sz="800" dirty="0" err="1"/>
            <a:t>Rescore</a:t>
          </a:r>
          <a:endParaRPr lang="de-DE" sz="800" dirty="0"/>
        </a:p>
      </dgm:t>
    </dgm:pt>
    <dgm:pt modelId="{909DDDD2-F25C-4C00-81D0-AF846A432E8D}" type="parTrans" cxnId="{4B56EB1A-9C7B-455E-8751-2C472532F6F5}">
      <dgm:prSet/>
      <dgm:spPr/>
      <dgm:t>
        <a:bodyPr/>
        <a:lstStyle/>
        <a:p>
          <a:endParaRPr lang="de-DE" sz="800"/>
        </a:p>
      </dgm:t>
    </dgm:pt>
    <dgm:pt modelId="{55567288-8A12-44F6-9E6C-397FCE2D9257}" type="sibTrans" cxnId="{4B56EB1A-9C7B-455E-8751-2C472532F6F5}">
      <dgm:prSet/>
      <dgm:spPr/>
      <dgm:t>
        <a:bodyPr/>
        <a:lstStyle/>
        <a:p>
          <a:endParaRPr lang="de-DE" sz="800"/>
        </a:p>
      </dgm:t>
    </dgm:pt>
    <dgm:pt modelId="{794A224C-60FC-499E-AAA8-EAFA0C2F2DB2}">
      <dgm:prSet custT="1"/>
      <dgm:spPr/>
      <dgm:t>
        <a:bodyPr/>
        <a:lstStyle/>
        <a:p>
          <a:r>
            <a:rPr lang="de-DE" sz="800" dirty="0"/>
            <a:t>Price &amp; </a:t>
          </a:r>
          <a:r>
            <a:rPr lang="de-DE" sz="800" dirty="0" err="1"/>
            <a:t>Availability</a:t>
          </a:r>
          <a:r>
            <a:rPr lang="de-DE" sz="800" dirty="0"/>
            <a:t>: </a:t>
          </a:r>
          <a:r>
            <a:rPr lang="de-DE" sz="800" dirty="0" err="1"/>
            <a:t>SciFinder</a:t>
          </a:r>
          <a:endParaRPr lang="de-DE" sz="800" dirty="0"/>
        </a:p>
      </dgm:t>
    </dgm:pt>
    <dgm:pt modelId="{F9758259-F528-4C79-92FF-6C2EE8BAF60E}" type="parTrans" cxnId="{36C577B6-8293-4094-9CF5-D42C72841ECF}">
      <dgm:prSet/>
      <dgm:spPr/>
      <dgm:t>
        <a:bodyPr/>
        <a:lstStyle/>
        <a:p>
          <a:endParaRPr lang="de-DE" sz="800"/>
        </a:p>
      </dgm:t>
    </dgm:pt>
    <dgm:pt modelId="{F7607CFE-B2B8-4DF7-8E80-E0048487ED1E}" type="sibTrans" cxnId="{36C577B6-8293-4094-9CF5-D42C72841ECF}">
      <dgm:prSet/>
      <dgm:spPr/>
      <dgm:t>
        <a:bodyPr/>
        <a:lstStyle/>
        <a:p>
          <a:endParaRPr lang="de-DE" sz="800"/>
        </a:p>
      </dgm:t>
    </dgm:pt>
    <dgm:pt modelId="{5C42A87A-7422-48D1-9B32-FA50961EE150}" type="pres">
      <dgm:prSet presAssocID="{59FD3364-4BE2-4FB7-953E-CF42026ED9C9}" presName="Name0" presStyleCnt="0">
        <dgm:presLayoutVars>
          <dgm:dir/>
          <dgm:animLvl val="lvl"/>
          <dgm:resizeHandles val="exact"/>
        </dgm:presLayoutVars>
      </dgm:prSet>
      <dgm:spPr/>
    </dgm:pt>
    <dgm:pt modelId="{8C581D7C-C812-4EAC-936B-B19C81CF8C76}" type="pres">
      <dgm:prSet presAssocID="{B8C5AE61-A3F9-4263-9067-29BF05F687DC}" presName="Name8" presStyleCnt="0"/>
      <dgm:spPr/>
    </dgm:pt>
    <dgm:pt modelId="{56AB0317-6204-4733-AD2F-AB6E8A15181C}" type="pres">
      <dgm:prSet presAssocID="{B8C5AE61-A3F9-4263-9067-29BF05F687DC}" presName="level" presStyleLbl="node1" presStyleIdx="0" presStyleCnt="5" custScaleY="48911" custLinFactNeighborX="67391" custLinFactNeighborY="-66043">
        <dgm:presLayoutVars>
          <dgm:chMax val="1"/>
          <dgm:bulletEnabled val="1"/>
        </dgm:presLayoutVars>
      </dgm:prSet>
      <dgm:spPr/>
    </dgm:pt>
    <dgm:pt modelId="{1908BF8F-419C-44CA-A46F-1568EC535001}" type="pres">
      <dgm:prSet presAssocID="{B8C5AE61-A3F9-4263-9067-29BF05F687DC}" presName="levelTx" presStyleLbl="revTx" presStyleIdx="0" presStyleCnt="0">
        <dgm:presLayoutVars>
          <dgm:chMax val="1"/>
          <dgm:bulletEnabled val="1"/>
        </dgm:presLayoutVars>
      </dgm:prSet>
      <dgm:spPr/>
    </dgm:pt>
    <dgm:pt modelId="{DBF91E85-DDAF-4056-BD01-4B3F52A6BFF4}" type="pres">
      <dgm:prSet presAssocID="{C28325A1-AE35-4C3F-B53E-70E025084B66}" presName="Name8" presStyleCnt="0"/>
      <dgm:spPr/>
    </dgm:pt>
    <dgm:pt modelId="{B6579736-0CF7-4F5E-9970-2209CA609A49}" type="pres">
      <dgm:prSet presAssocID="{C28325A1-AE35-4C3F-B53E-70E025084B66}" presName="level" presStyleLbl="node1" presStyleIdx="1" presStyleCnt="5" custScaleY="69560" custLinFactNeighborX="81" custLinFactNeighborY="-65">
        <dgm:presLayoutVars>
          <dgm:chMax val="1"/>
          <dgm:bulletEnabled val="1"/>
        </dgm:presLayoutVars>
      </dgm:prSet>
      <dgm:spPr/>
    </dgm:pt>
    <dgm:pt modelId="{B62AEF21-70CE-40C4-99CF-DB2061C93D87}" type="pres">
      <dgm:prSet presAssocID="{C28325A1-AE35-4C3F-B53E-70E025084B66}" presName="levelTx" presStyleLbl="revTx" presStyleIdx="0" presStyleCnt="0">
        <dgm:presLayoutVars>
          <dgm:chMax val="1"/>
          <dgm:bulletEnabled val="1"/>
        </dgm:presLayoutVars>
      </dgm:prSet>
      <dgm:spPr/>
    </dgm:pt>
    <dgm:pt modelId="{E086DA2D-2A99-4CC6-93FC-249C6792F564}" type="pres">
      <dgm:prSet presAssocID="{1719FF43-97E9-4190-9CE7-C767D0792A61}" presName="Name8" presStyleCnt="0"/>
      <dgm:spPr/>
    </dgm:pt>
    <dgm:pt modelId="{1C64807A-957A-4663-B62A-A857AD222459}" type="pres">
      <dgm:prSet presAssocID="{1719FF43-97E9-4190-9CE7-C767D0792A61}" presName="level" presStyleLbl="node1" presStyleIdx="2" presStyleCnt="5" custScaleY="77787">
        <dgm:presLayoutVars>
          <dgm:chMax val="1"/>
          <dgm:bulletEnabled val="1"/>
        </dgm:presLayoutVars>
      </dgm:prSet>
      <dgm:spPr/>
    </dgm:pt>
    <dgm:pt modelId="{21520186-8FC9-4552-96E5-0BF2E278436B}" type="pres">
      <dgm:prSet presAssocID="{1719FF43-97E9-4190-9CE7-C767D0792A61}" presName="levelTx" presStyleLbl="revTx" presStyleIdx="0" presStyleCnt="0">
        <dgm:presLayoutVars>
          <dgm:chMax val="1"/>
          <dgm:bulletEnabled val="1"/>
        </dgm:presLayoutVars>
      </dgm:prSet>
      <dgm:spPr/>
    </dgm:pt>
    <dgm:pt modelId="{92FC968A-FB81-49DB-82A9-D03FDCE09E79}" type="pres">
      <dgm:prSet presAssocID="{E0973FD2-833E-4A58-9851-AE09141FB6F6}" presName="Name8" presStyleCnt="0"/>
      <dgm:spPr/>
    </dgm:pt>
    <dgm:pt modelId="{A6638BC3-008E-4C4E-B5FC-60F2C909E752}" type="pres">
      <dgm:prSet presAssocID="{E0973FD2-833E-4A58-9851-AE09141FB6F6}" presName="level" presStyleLbl="node1" presStyleIdx="3" presStyleCnt="5">
        <dgm:presLayoutVars>
          <dgm:chMax val="1"/>
          <dgm:bulletEnabled val="1"/>
        </dgm:presLayoutVars>
      </dgm:prSet>
      <dgm:spPr/>
    </dgm:pt>
    <dgm:pt modelId="{79D4C5A4-4C8B-4324-8A64-10CF90BF1DAF}" type="pres">
      <dgm:prSet presAssocID="{E0973FD2-833E-4A58-9851-AE09141FB6F6}" presName="levelTx" presStyleLbl="revTx" presStyleIdx="0" presStyleCnt="0">
        <dgm:presLayoutVars>
          <dgm:chMax val="1"/>
          <dgm:bulletEnabled val="1"/>
        </dgm:presLayoutVars>
      </dgm:prSet>
      <dgm:spPr/>
    </dgm:pt>
    <dgm:pt modelId="{8998A153-35B5-4B01-A78C-B9B50D0DB3B1}" type="pres">
      <dgm:prSet presAssocID="{794A224C-60FC-499E-AAA8-EAFA0C2F2DB2}" presName="Name8" presStyleCnt="0"/>
      <dgm:spPr/>
    </dgm:pt>
    <dgm:pt modelId="{4E947946-8525-4472-81E0-232DECA6B497}" type="pres">
      <dgm:prSet presAssocID="{794A224C-60FC-499E-AAA8-EAFA0C2F2DB2}" presName="level" presStyleLbl="node1" presStyleIdx="4" presStyleCnt="5">
        <dgm:presLayoutVars>
          <dgm:chMax val="1"/>
          <dgm:bulletEnabled val="1"/>
        </dgm:presLayoutVars>
      </dgm:prSet>
      <dgm:spPr/>
    </dgm:pt>
    <dgm:pt modelId="{F93394BE-5092-492B-B01E-99267ECE3444}" type="pres">
      <dgm:prSet presAssocID="{794A224C-60FC-499E-AAA8-EAFA0C2F2DB2}" presName="levelTx" presStyleLbl="revTx" presStyleIdx="0" presStyleCnt="0">
        <dgm:presLayoutVars>
          <dgm:chMax val="1"/>
          <dgm:bulletEnabled val="1"/>
        </dgm:presLayoutVars>
      </dgm:prSet>
      <dgm:spPr/>
    </dgm:pt>
  </dgm:ptLst>
  <dgm:cxnLst>
    <dgm:cxn modelId="{0CA51D16-3777-47B8-B61D-5F41D1C86E6D}" type="presOf" srcId="{E0973FD2-833E-4A58-9851-AE09141FB6F6}" destId="{79D4C5A4-4C8B-4324-8A64-10CF90BF1DAF}" srcOrd="1" destOrd="0" presId="urn:microsoft.com/office/officeart/2005/8/layout/pyramid3"/>
    <dgm:cxn modelId="{4B56EB1A-9C7B-455E-8751-2C472532F6F5}" srcId="{59FD3364-4BE2-4FB7-953E-CF42026ED9C9}" destId="{E0973FD2-833E-4A58-9851-AE09141FB6F6}" srcOrd="3" destOrd="0" parTransId="{909DDDD2-F25C-4C00-81D0-AF846A432E8D}" sibTransId="{55567288-8A12-44F6-9E6C-397FCE2D9257}"/>
    <dgm:cxn modelId="{DA065E47-B345-471E-A428-F49C6BAE89ED}" type="presOf" srcId="{1719FF43-97E9-4190-9CE7-C767D0792A61}" destId="{21520186-8FC9-4552-96E5-0BF2E278436B}" srcOrd="1" destOrd="0" presId="urn:microsoft.com/office/officeart/2005/8/layout/pyramid3"/>
    <dgm:cxn modelId="{BFAF1B48-18E4-4F05-8C42-98AFB03DC1FB}" type="presOf" srcId="{C28325A1-AE35-4C3F-B53E-70E025084B66}" destId="{B6579736-0CF7-4F5E-9970-2209CA609A49}" srcOrd="0" destOrd="0" presId="urn:microsoft.com/office/officeart/2005/8/layout/pyramid3"/>
    <dgm:cxn modelId="{4E6C815E-1B26-4383-8776-269A16997FAC}" type="presOf" srcId="{B8C5AE61-A3F9-4263-9067-29BF05F687DC}" destId="{1908BF8F-419C-44CA-A46F-1568EC535001}" srcOrd="1" destOrd="0" presId="urn:microsoft.com/office/officeart/2005/8/layout/pyramid3"/>
    <dgm:cxn modelId="{1CF7388D-0D1E-4A11-A44A-617BB1DC89BC}" srcId="{59FD3364-4BE2-4FB7-953E-CF42026ED9C9}" destId="{1719FF43-97E9-4190-9CE7-C767D0792A61}" srcOrd="2" destOrd="0" parTransId="{0EE4AE2D-3A2C-4714-9E03-B345E546BD71}" sibTransId="{2E3F8A0E-2CD9-427A-B779-8DF08F525670}"/>
    <dgm:cxn modelId="{20415398-DBA2-428F-AEBF-BEAB6233FF0D}" type="presOf" srcId="{B8C5AE61-A3F9-4263-9067-29BF05F687DC}" destId="{56AB0317-6204-4733-AD2F-AB6E8A15181C}" srcOrd="0" destOrd="0" presId="urn:microsoft.com/office/officeart/2005/8/layout/pyramid3"/>
    <dgm:cxn modelId="{BC3527B1-E4D6-4704-BFF2-51071F60250D}" type="presOf" srcId="{C28325A1-AE35-4C3F-B53E-70E025084B66}" destId="{B62AEF21-70CE-40C4-99CF-DB2061C93D87}" srcOrd="1" destOrd="0" presId="urn:microsoft.com/office/officeart/2005/8/layout/pyramid3"/>
    <dgm:cxn modelId="{36C577B6-8293-4094-9CF5-D42C72841ECF}" srcId="{59FD3364-4BE2-4FB7-953E-CF42026ED9C9}" destId="{794A224C-60FC-499E-AAA8-EAFA0C2F2DB2}" srcOrd="4" destOrd="0" parTransId="{F9758259-F528-4C79-92FF-6C2EE8BAF60E}" sibTransId="{F7607CFE-B2B8-4DF7-8E80-E0048487ED1E}"/>
    <dgm:cxn modelId="{A45B78BE-3512-4D02-9A9B-F40DFDF166B8}" srcId="{59FD3364-4BE2-4FB7-953E-CF42026ED9C9}" destId="{C28325A1-AE35-4C3F-B53E-70E025084B66}" srcOrd="1" destOrd="0" parTransId="{9E2B0AD3-FF25-45DC-A974-6BD7FF4FA827}" sibTransId="{908FFFB9-C919-472E-9BCC-E8C1C5B60E4D}"/>
    <dgm:cxn modelId="{1CBC89C0-EBF5-43F5-B52C-E139605C466F}" type="presOf" srcId="{794A224C-60FC-499E-AAA8-EAFA0C2F2DB2}" destId="{F93394BE-5092-492B-B01E-99267ECE3444}" srcOrd="1" destOrd="0" presId="urn:microsoft.com/office/officeart/2005/8/layout/pyramid3"/>
    <dgm:cxn modelId="{D621E8CE-0F13-4B1C-9C18-05B523C6D347}" type="presOf" srcId="{E0973FD2-833E-4A58-9851-AE09141FB6F6}" destId="{A6638BC3-008E-4C4E-B5FC-60F2C909E752}" srcOrd="0" destOrd="0" presId="urn:microsoft.com/office/officeart/2005/8/layout/pyramid3"/>
    <dgm:cxn modelId="{9D3117E2-52C4-4632-8745-5CF9F22A89D8}" type="presOf" srcId="{794A224C-60FC-499E-AAA8-EAFA0C2F2DB2}" destId="{4E947946-8525-4472-81E0-232DECA6B497}" srcOrd="0" destOrd="0" presId="urn:microsoft.com/office/officeart/2005/8/layout/pyramid3"/>
    <dgm:cxn modelId="{448EC4E4-F7FB-4D3D-9293-E959690DE165}" srcId="{59FD3364-4BE2-4FB7-953E-CF42026ED9C9}" destId="{B8C5AE61-A3F9-4263-9067-29BF05F687DC}" srcOrd="0" destOrd="0" parTransId="{8BD95363-299E-46A7-A5CC-393E3923ABCA}" sibTransId="{EF957111-199C-4C3C-8A20-02191C093708}"/>
    <dgm:cxn modelId="{407AF7F2-A2C6-4929-8739-5D3C31F6F47D}" type="presOf" srcId="{1719FF43-97E9-4190-9CE7-C767D0792A61}" destId="{1C64807A-957A-4663-B62A-A857AD222459}" srcOrd="0" destOrd="0" presId="urn:microsoft.com/office/officeart/2005/8/layout/pyramid3"/>
    <dgm:cxn modelId="{1E0824FF-D7FD-4BE7-A272-3B8FB359AF23}" type="presOf" srcId="{59FD3364-4BE2-4FB7-953E-CF42026ED9C9}" destId="{5C42A87A-7422-48D1-9B32-FA50961EE150}" srcOrd="0" destOrd="0" presId="urn:microsoft.com/office/officeart/2005/8/layout/pyramid3"/>
    <dgm:cxn modelId="{E0DAF162-B155-4A8E-B881-84FFFDB8EE44}" type="presParOf" srcId="{5C42A87A-7422-48D1-9B32-FA50961EE150}" destId="{8C581D7C-C812-4EAC-936B-B19C81CF8C76}" srcOrd="0" destOrd="0" presId="urn:microsoft.com/office/officeart/2005/8/layout/pyramid3"/>
    <dgm:cxn modelId="{2C4A8FBE-1724-4863-BC2D-7C2C341541D3}" type="presParOf" srcId="{8C581D7C-C812-4EAC-936B-B19C81CF8C76}" destId="{56AB0317-6204-4733-AD2F-AB6E8A15181C}" srcOrd="0" destOrd="0" presId="urn:microsoft.com/office/officeart/2005/8/layout/pyramid3"/>
    <dgm:cxn modelId="{4157144F-030C-4EA7-8358-DF3126404D01}" type="presParOf" srcId="{8C581D7C-C812-4EAC-936B-B19C81CF8C76}" destId="{1908BF8F-419C-44CA-A46F-1568EC535001}" srcOrd="1" destOrd="0" presId="urn:microsoft.com/office/officeart/2005/8/layout/pyramid3"/>
    <dgm:cxn modelId="{C71D054F-553D-4388-B2CE-2DD2564BA6A9}" type="presParOf" srcId="{5C42A87A-7422-48D1-9B32-FA50961EE150}" destId="{DBF91E85-DDAF-4056-BD01-4B3F52A6BFF4}" srcOrd="1" destOrd="0" presId="urn:microsoft.com/office/officeart/2005/8/layout/pyramid3"/>
    <dgm:cxn modelId="{34C9F40E-AAAC-4732-9027-210913D05BE0}" type="presParOf" srcId="{DBF91E85-DDAF-4056-BD01-4B3F52A6BFF4}" destId="{B6579736-0CF7-4F5E-9970-2209CA609A49}" srcOrd="0" destOrd="0" presId="urn:microsoft.com/office/officeart/2005/8/layout/pyramid3"/>
    <dgm:cxn modelId="{12B46071-8E72-4095-97D8-89E0571A1917}" type="presParOf" srcId="{DBF91E85-DDAF-4056-BD01-4B3F52A6BFF4}" destId="{B62AEF21-70CE-40C4-99CF-DB2061C93D87}" srcOrd="1" destOrd="0" presId="urn:microsoft.com/office/officeart/2005/8/layout/pyramid3"/>
    <dgm:cxn modelId="{AD9B325B-B0B5-47FD-9B19-88334F96E9E6}" type="presParOf" srcId="{5C42A87A-7422-48D1-9B32-FA50961EE150}" destId="{E086DA2D-2A99-4CC6-93FC-249C6792F564}" srcOrd="2" destOrd="0" presId="urn:microsoft.com/office/officeart/2005/8/layout/pyramid3"/>
    <dgm:cxn modelId="{7A7E84C1-3FF1-439B-9519-7AE3BB156827}" type="presParOf" srcId="{E086DA2D-2A99-4CC6-93FC-249C6792F564}" destId="{1C64807A-957A-4663-B62A-A857AD222459}" srcOrd="0" destOrd="0" presId="urn:microsoft.com/office/officeart/2005/8/layout/pyramid3"/>
    <dgm:cxn modelId="{71A1E088-F967-4797-B4DC-A94C9F621033}" type="presParOf" srcId="{E086DA2D-2A99-4CC6-93FC-249C6792F564}" destId="{21520186-8FC9-4552-96E5-0BF2E278436B}" srcOrd="1" destOrd="0" presId="urn:microsoft.com/office/officeart/2005/8/layout/pyramid3"/>
    <dgm:cxn modelId="{0DFF2109-4AA0-48CC-8C6D-4F6E610DC281}" type="presParOf" srcId="{5C42A87A-7422-48D1-9B32-FA50961EE150}" destId="{92FC968A-FB81-49DB-82A9-D03FDCE09E79}" srcOrd="3" destOrd="0" presId="urn:microsoft.com/office/officeart/2005/8/layout/pyramid3"/>
    <dgm:cxn modelId="{4111EB2B-A50B-44E9-A2AF-006D9C85A8EB}" type="presParOf" srcId="{92FC968A-FB81-49DB-82A9-D03FDCE09E79}" destId="{A6638BC3-008E-4C4E-B5FC-60F2C909E752}" srcOrd="0" destOrd="0" presId="urn:microsoft.com/office/officeart/2005/8/layout/pyramid3"/>
    <dgm:cxn modelId="{C60ECB3C-25D0-4F9D-B9EC-637ECDFF4819}" type="presParOf" srcId="{92FC968A-FB81-49DB-82A9-D03FDCE09E79}" destId="{79D4C5A4-4C8B-4324-8A64-10CF90BF1DAF}" srcOrd="1" destOrd="0" presId="urn:microsoft.com/office/officeart/2005/8/layout/pyramid3"/>
    <dgm:cxn modelId="{BC52B3CD-F383-4A5C-88E5-184D9B7D19D8}" type="presParOf" srcId="{5C42A87A-7422-48D1-9B32-FA50961EE150}" destId="{8998A153-35B5-4B01-A78C-B9B50D0DB3B1}" srcOrd="4" destOrd="0" presId="urn:microsoft.com/office/officeart/2005/8/layout/pyramid3"/>
    <dgm:cxn modelId="{0DD6256B-9353-4C98-A154-A2F2C4938E1B}" type="presParOf" srcId="{8998A153-35B5-4B01-A78C-B9B50D0DB3B1}" destId="{4E947946-8525-4472-81E0-232DECA6B497}" srcOrd="0" destOrd="0" presId="urn:microsoft.com/office/officeart/2005/8/layout/pyramid3"/>
    <dgm:cxn modelId="{85A99E15-D0A0-4540-84E7-8503CA46711E}" type="presParOf" srcId="{8998A153-35B5-4B01-A78C-B9B50D0DB3B1}" destId="{F93394BE-5092-492B-B01E-99267ECE3444}" srcOrd="1" destOrd="0" presId="urn:microsoft.com/office/officeart/2005/8/layout/pyramid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AB0317-6204-4733-AD2F-AB6E8A15181C}">
      <dsp:nvSpPr>
        <dsp:cNvPr id="0" name=""/>
        <dsp:cNvSpPr/>
      </dsp:nvSpPr>
      <dsp:spPr>
        <a:xfrm rot="10800000">
          <a:off x="0" y="0"/>
          <a:ext cx="2619375" cy="351531"/>
        </a:xfrm>
        <a:prstGeom prst="trapezoid">
          <a:avLst>
            <a:gd name="adj" fmla="val 45987"/>
          </a:avLst>
        </a:prstGeom>
        <a:solidFill>
          <a:schemeClr val="accent3">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de-DE" sz="800" kern="1200" dirty="0" err="1"/>
            <a:t>Solubility</a:t>
          </a:r>
          <a:r>
            <a:rPr lang="de-DE" sz="800" kern="1200" dirty="0"/>
            <a:t>, </a:t>
          </a:r>
          <a:r>
            <a:rPr lang="de-DE" sz="800" kern="1200" dirty="0" err="1"/>
            <a:t>availability</a:t>
          </a:r>
          <a:r>
            <a:rPr lang="de-DE" sz="800" kern="1200" dirty="0"/>
            <a:t> </a:t>
          </a:r>
          <a:r>
            <a:rPr lang="de-DE" sz="800" kern="1200" dirty="0" err="1"/>
            <a:t>and</a:t>
          </a:r>
          <a:r>
            <a:rPr lang="de-DE" sz="800" kern="1200" dirty="0"/>
            <a:t> </a:t>
          </a:r>
          <a:r>
            <a:rPr lang="de-DE" sz="800" kern="1200" dirty="0" err="1"/>
            <a:t>reactivity</a:t>
          </a:r>
          <a:r>
            <a:rPr lang="de-DE" sz="800" kern="1200" dirty="0"/>
            <a:t>: ZINC 15 </a:t>
          </a:r>
          <a:r>
            <a:rPr lang="de-DE" sz="800" kern="1200" dirty="0" err="1"/>
            <a:t>Tranches</a:t>
          </a:r>
          <a:endParaRPr lang="de-DE" sz="800" kern="1200" dirty="0"/>
        </a:p>
      </dsp:txBody>
      <dsp:txXfrm rot="-10800000">
        <a:off x="458390" y="0"/>
        <a:ext cx="1702593" cy="351531"/>
      </dsp:txXfrm>
    </dsp:sp>
    <dsp:sp modelId="{B6579736-0CF7-4F5E-9970-2209CA609A49}">
      <dsp:nvSpPr>
        <dsp:cNvPr id="0" name=""/>
        <dsp:cNvSpPr/>
      </dsp:nvSpPr>
      <dsp:spPr>
        <a:xfrm rot="10800000">
          <a:off x="163517" y="351064"/>
          <a:ext cx="2296059" cy="499939"/>
        </a:xfrm>
        <a:prstGeom prst="trapezoid">
          <a:avLst>
            <a:gd name="adj" fmla="val 45987"/>
          </a:avLst>
        </a:prstGeom>
        <a:solidFill>
          <a:schemeClr val="accent3">
            <a:shade val="80000"/>
            <a:hueOff val="0"/>
            <a:satOff val="0"/>
            <a:lumOff val="477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de-DE" sz="800" kern="1200" dirty="0"/>
            <a:t>2nd </a:t>
          </a:r>
          <a:r>
            <a:rPr lang="de-DE" sz="800" kern="1200" dirty="0" err="1"/>
            <a:t>solubility and reactivity</a:t>
          </a:r>
          <a:r>
            <a:rPr lang="de-DE" sz="800" kern="1200" dirty="0"/>
            <a:t> </a:t>
          </a:r>
          <a:r>
            <a:rPr lang="de-DE" sz="800" kern="1200" dirty="0" err="1"/>
            <a:t>filter</a:t>
          </a:r>
          <a:r>
            <a:rPr lang="de-DE" sz="800" kern="1200" dirty="0"/>
            <a:t>: </a:t>
          </a:r>
          <a:r>
            <a:rPr lang="de-DE" sz="800" kern="1200" dirty="0" err="1"/>
            <a:t>Qikprop</a:t>
          </a:r>
          <a:endParaRPr lang="de-DE" sz="800" kern="1200" dirty="0"/>
        </a:p>
      </dsp:txBody>
      <dsp:txXfrm rot="-10800000">
        <a:off x="565327" y="351064"/>
        <a:ext cx="1492438" cy="499939"/>
      </dsp:txXfrm>
    </dsp:sp>
    <dsp:sp modelId="{1C64807A-957A-4663-B62A-A857AD222459}">
      <dsp:nvSpPr>
        <dsp:cNvPr id="0" name=""/>
        <dsp:cNvSpPr/>
      </dsp:nvSpPr>
      <dsp:spPr>
        <a:xfrm rot="10800000">
          <a:off x="391563" y="851471"/>
          <a:ext cx="1836248" cy="559068"/>
        </a:xfrm>
        <a:prstGeom prst="trapezoid">
          <a:avLst>
            <a:gd name="adj" fmla="val 45987"/>
          </a:avLst>
        </a:prstGeom>
        <a:solidFill>
          <a:schemeClr val="accent3">
            <a:shade val="80000"/>
            <a:hueOff val="0"/>
            <a:satOff val="0"/>
            <a:lumOff val="954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de-DE" sz="800" kern="1200" dirty="0" err="1"/>
            <a:t>Glide</a:t>
          </a:r>
          <a:r>
            <a:rPr lang="de-DE" sz="800" kern="1200" dirty="0"/>
            <a:t> Docking</a:t>
          </a:r>
        </a:p>
      </dsp:txBody>
      <dsp:txXfrm rot="-10800000">
        <a:off x="712906" y="851471"/>
        <a:ext cx="1193561" cy="559068"/>
      </dsp:txXfrm>
    </dsp:sp>
    <dsp:sp modelId="{A6638BC3-008E-4C4E-B5FC-60F2C909E752}">
      <dsp:nvSpPr>
        <dsp:cNvPr id="0" name=""/>
        <dsp:cNvSpPr/>
      </dsp:nvSpPr>
      <dsp:spPr>
        <a:xfrm rot="10800000">
          <a:off x="648659" y="1410540"/>
          <a:ext cx="1322055" cy="718717"/>
        </a:xfrm>
        <a:prstGeom prst="trapezoid">
          <a:avLst>
            <a:gd name="adj" fmla="val 45987"/>
          </a:avLst>
        </a:prstGeom>
        <a:solidFill>
          <a:schemeClr val="accent3">
            <a:shade val="80000"/>
            <a:hueOff val="0"/>
            <a:satOff val="0"/>
            <a:lumOff val="1431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de-DE" sz="800" kern="1200" dirty="0"/>
            <a:t>MM-GBSA </a:t>
          </a:r>
          <a:r>
            <a:rPr lang="de-DE" sz="800" kern="1200" dirty="0" err="1"/>
            <a:t>Rescore</a:t>
          </a:r>
          <a:endParaRPr lang="de-DE" sz="800" kern="1200" dirty="0"/>
        </a:p>
      </dsp:txBody>
      <dsp:txXfrm rot="-10800000">
        <a:off x="880019" y="1410540"/>
        <a:ext cx="859335" cy="718717"/>
      </dsp:txXfrm>
    </dsp:sp>
    <dsp:sp modelId="{4E947946-8525-4472-81E0-232DECA6B497}">
      <dsp:nvSpPr>
        <dsp:cNvPr id="0" name=""/>
        <dsp:cNvSpPr/>
      </dsp:nvSpPr>
      <dsp:spPr>
        <a:xfrm rot="10800000">
          <a:off x="979173" y="2129257"/>
          <a:ext cx="661027" cy="718717"/>
        </a:xfrm>
        <a:prstGeom prst="trapezoid">
          <a:avLst>
            <a:gd name="adj" fmla="val 50000"/>
          </a:avLst>
        </a:prstGeom>
        <a:solidFill>
          <a:schemeClr val="accent3">
            <a:shade val="80000"/>
            <a:hueOff val="0"/>
            <a:satOff val="0"/>
            <a:lumOff val="1909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de-DE" sz="800" kern="1200" dirty="0"/>
            <a:t>Price &amp; </a:t>
          </a:r>
          <a:r>
            <a:rPr lang="de-DE" sz="800" kern="1200" dirty="0" err="1"/>
            <a:t>Availability</a:t>
          </a:r>
          <a:r>
            <a:rPr lang="de-DE" sz="800" kern="1200" dirty="0"/>
            <a:t>: </a:t>
          </a:r>
          <a:r>
            <a:rPr lang="de-DE" sz="800" kern="1200" dirty="0" err="1"/>
            <a:t>SciFinder</a:t>
          </a:r>
          <a:endParaRPr lang="de-DE" sz="800" kern="1200" dirty="0"/>
        </a:p>
      </dsp:txBody>
      <dsp:txXfrm rot="-10800000">
        <a:off x="979173" y="2129257"/>
        <a:ext cx="661027" cy="718717"/>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B92546-CD18-5749-9BA5-29E96DC8A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511</TotalTime>
  <Pages>32</Pages>
  <Words>26821</Words>
  <Characters>152881</Characters>
  <Application>Microsoft Office Word</Application>
  <DocSecurity>0</DocSecurity>
  <Lines>1274</Lines>
  <Paragraphs>358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179344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Tosstorff</dc:creator>
  <cp:keywords/>
  <dc:description/>
  <cp:lastModifiedBy>ru37vod</cp:lastModifiedBy>
  <cp:revision>93</cp:revision>
  <cp:lastPrinted>2019-04-05T22:17:00Z</cp:lastPrinted>
  <dcterms:created xsi:type="dcterms:W3CDTF">2019-02-27T09:14:00Z</dcterms:created>
  <dcterms:modified xsi:type="dcterms:W3CDTF">2019-04-28T11:09:00Z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http://www.zotero.org/styles/pnas</vt:lpwstr>
  </property>
  <property fmtid="{D5CDD505-2E9C-101B-9397-08002B2CF9AE}" pid="21" name="Mendeley Recent Style Name 9_1">
    <vt:lpwstr>Proceedings of the National Academy of Sciences of the United States of America</vt:lpwstr>
  </property>
  <property fmtid="{D5CDD505-2E9C-101B-9397-08002B2CF9AE}" pid="22" name="Mendeley Document_1">
    <vt:lpwstr>True</vt:lpwstr>
  </property>
  <property fmtid="{D5CDD505-2E9C-101B-9397-08002B2CF9AE}" pid="23" name="Mendeley Unique User Id_1">
    <vt:lpwstr>c42b06d6-27f9-38be-8cd3-30f557a6461a</vt:lpwstr>
  </property>
  <property fmtid="{D5CDD505-2E9C-101B-9397-08002B2CF9AE}" pid="24" name="Mendeley Citation Style_1">
    <vt:lpwstr>http://www.zotero.org/styles/pnas</vt:lpwstr>
  </property>
</Properties>
</file>